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3F00B6" w:rsidP="00C3795C">
      <w:pPr>
        <w:pStyle w:val="AHPRADocumenttitle"/>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36.45pt;width:416pt;height:0;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2/g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" adj="42,-1,42"/>
        </w:pict>
      </w:r>
      <w:bookmarkStart w:id="0" w:name="_Toc316635487"/>
      <w:r w:rsidR="005D6328">
        <w:rPr>
          <w:noProof/>
          <w:lang w:eastAsia="en-AU"/>
        </w:rPr>
        <w:t>Professionalism in a regulatory context:</w:t>
      </w:r>
      <w:r w:rsidR="00B4754E">
        <w:t xml:space="preserve"> </w:t>
      </w:r>
      <w:r w:rsidR="005D6328">
        <w:t>T</w:t>
      </w:r>
      <w:r w:rsidR="00B4754E">
        <w:t>ranscript</w:t>
      </w:r>
      <w:bookmarkStart w:id="1" w:name="_GoBack"/>
      <w:bookmarkEnd w:id="0"/>
      <w:bookmarkEnd w:id="1"/>
    </w:p>
    <w:p w:rsidR="00C3795C" w:rsidRPr="00901ADC" w:rsidRDefault="00C3795C" w:rsidP="00FC2881">
      <w:pPr>
        <w:outlineLvl w:val="0"/>
        <w:rPr>
          <w:sz w:val="4"/>
          <w:szCs w:val="4"/>
        </w:rPr>
      </w:pPr>
    </w:p>
    <w:p w:rsidR="00C63C75" w:rsidRPr="00741C6A" w:rsidRDefault="005D6328" w:rsidP="00741C6A">
      <w:pPr>
        <w:pStyle w:val="AHPRAbody"/>
        <w:rPr>
          <w:b/>
        </w:rPr>
      </w:pPr>
      <w:r>
        <w:rPr>
          <w:b/>
        </w:rPr>
        <w:t>27 February</w:t>
      </w:r>
      <w:r w:rsidR="00901ADC" w:rsidRPr="00901ADC">
        <w:rPr>
          <w:b/>
        </w:rPr>
        <w:t xml:space="preserve"> 2017</w:t>
      </w:r>
    </w:p>
    <w:p w:rsidR="00917055" w:rsidRPr="00917055" w:rsidRDefault="005D6328" w:rsidP="00917055">
      <w:pPr>
        <w:pStyle w:val="AHPRADocumentsubheading"/>
      </w:pPr>
      <w:r>
        <w:t>Professionalism in a regulatory context</w:t>
      </w:r>
    </w:p>
    <w:p w:rsidR="00741C6A" w:rsidRPr="00741C6A" w:rsidRDefault="00741C6A" w:rsidP="00741C6A">
      <w:pPr>
        <w:pStyle w:val="AHPRASubheading"/>
      </w:pPr>
      <w:r w:rsidRPr="00741C6A">
        <w:t xml:space="preserve">Presenter: </w:t>
      </w:r>
      <w:r w:rsidR="00917055" w:rsidRPr="00917055">
        <w:rPr>
          <w:szCs w:val="20"/>
        </w:rPr>
        <w:t xml:space="preserve">Dr </w:t>
      </w:r>
      <w:r w:rsidR="005D6328">
        <w:rPr>
          <w:szCs w:val="20"/>
        </w:rPr>
        <w:t>Anna Ryan</w:t>
      </w:r>
      <w:r w:rsidR="00917055">
        <w:t>, practitioner</w:t>
      </w:r>
      <w:r w:rsidR="00E90DE1">
        <w:t xml:space="preserve"> member, Chiropractic </w:t>
      </w:r>
      <w:r w:rsidR="00134DBB">
        <w:t>Board</w:t>
      </w:r>
      <w:r w:rsidR="00E90DE1">
        <w:t xml:space="preserve"> of Australia</w:t>
      </w:r>
    </w:p>
    <w:p w:rsidR="00917055" w:rsidRPr="00917055" w:rsidRDefault="00917055" w:rsidP="00917055">
      <w:pPr>
        <w:pStyle w:val="AHPRAbodybold"/>
      </w:pPr>
      <w:r w:rsidRPr="00917055">
        <w:t>Slide 1</w:t>
      </w:r>
    </w:p>
    <w:p w:rsidR="0084088E" w:rsidRDefault="0084088E" w:rsidP="0084088E">
      <w:pPr>
        <w:pStyle w:val="AHPRAbody"/>
      </w:pPr>
      <w:r w:rsidRPr="00D72A5F">
        <w:t>The focu</w:t>
      </w:r>
      <w:r>
        <w:t xml:space="preserve">s of </w:t>
      </w:r>
      <w:r w:rsidR="004B71D2">
        <w:t xml:space="preserve">this </w:t>
      </w:r>
      <w:r>
        <w:t>presentation today is p</w:t>
      </w:r>
      <w:r w:rsidRPr="00D72A5F">
        <w:t>rofessionalism in a regulatory context. With that in mind there are fo</w:t>
      </w:r>
      <w:r w:rsidR="00C60EAD">
        <w:t>ur key areas I’m going to cover</w:t>
      </w:r>
      <w:r w:rsidRPr="00D72A5F">
        <w:t xml:space="preserve">.  </w:t>
      </w:r>
    </w:p>
    <w:p w:rsidR="00917055" w:rsidRPr="00917055" w:rsidRDefault="00917055" w:rsidP="00917055">
      <w:pPr>
        <w:pStyle w:val="AHPRAbodybold"/>
      </w:pPr>
      <w:r w:rsidRPr="00917055">
        <w:t>Slide 2</w:t>
      </w:r>
    </w:p>
    <w:p w:rsidR="004B71D2" w:rsidRDefault="0084088E" w:rsidP="00917055">
      <w:pPr>
        <w:pStyle w:val="AHPRAbody"/>
      </w:pPr>
      <w:r w:rsidRPr="0084088E">
        <w:t>First</w:t>
      </w:r>
      <w:r w:rsidR="008E47B3">
        <w:t>ly</w:t>
      </w:r>
      <w:r w:rsidRPr="0084088E">
        <w:t xml:space="preserve"> I’d like to introduce the concept of </w:t>
      </w:r>
      <w:r w:rsidR="004B71D2">
        <w:t>c</w:t>
      </w:r>
      <w:r w:rsidRPr="0084088E">
        <w:t xml:space="preserve">hiropractic </w:t>
      </w:r>
      <w:r w:rsidR="004B71D2">
        <w:t>p</w:t>
      </w:r>
      <w:r w:rsidRPr="0084088E">
        <w:t xml:space="preserve">rofessionalism. </w:t>
      </w:r>
    </w:p>
    <w:p w:rsidR="004B71D2" w:rsidRDefault="008E47B3" w:rsidP="00917055">
      <w:pPr>
        <w:pStyle w:val="AHPRAbody"/>
      </w:pPr>
      <w:r>
        <w:t xml:space="preserve">Then </w:t>
      </w:r>
      <w:r w:rsidR="0084088E" w:rsidRPr="0084088E">
        <w:t xml:space="preserve">I’m going to highlight how professionalism is relevant to regulation of the </w:t>
      </w:r>
      <w:r w:rsidR="004B71D2">
        <w:t>c</w:t>
      </w:r>
      <w:r w:rsidR="0084088E" w:rsidRPr="0084088E">
        <w:t>hiropractors in terms of education, assessment and remediation</w:t>
      </w:r>
      <w:r>
        <w:t xml:space="preserve"> of practitioners</w:t>
      </w:r>
      <w:r w:rsidR="0084088E" w:rsidRPr="0084088E">
        <w:t xml:space="preserve">.  </w:t>
      </w:r>
    </w:p>
    <w:p w:rsidR="004B71D2" w:rsidRDefault="0084088E" w:rsidP="00917055">
      <w:pPr>
        <w:pStyle w:val="AHPRAbody"/>
      </w:pPr>
      <w:r w:rsidRPr="0084088E">
        <w:t>My next focus will be a brief summary of the current professionalism literature and I’ve placed an asterix here as much of this work has been done in other health professions but I</w:t>
      </w:r>
      <w:r w:rsidR="008E47B3">
        <w:t xml:space="preserve"> think</w:t>
      </w:r>
      <w:r w:rsidRPr="0084088E">
        <w:t xml:space="preserve"> there is</w:t>
      </w:r>
      <w:r w:rsidR="008E47B3">
        <w:t xml:space="preserve"> much</w:t>
      </w:r>
      <w:r w:rsidRPr="0084088E">
        <w:t xml:space="preserve"> overlap with our profession.  </w:t>
      </w:r>
    </w:p>
    <w:p w:rsidR="0084088E" w:rsidRDefault="0084088E" w:rsidP="00917055">
      <w:pPr>
        <w:pStyle w:val="AHPRAbody"/>
      </w:pPr>
      <w:r w:rsidRPr="0084088E">
        <w:t>And finally I’m going to highlight some recent developments and future possibilities around regulation of professionalism related issues</w:t>
      </w:r>
      <w:r w:rsidR="002F6984">
        <w:t>.</w:t>
      </w:r>
    </w:p>
    <w:p w:rsidR="00917055" w:rsidRPr="00917055" w:rsidRDefault="00917055" w:rsidP="00917055">
      <w:pPr>
        <w:pStyle w:val="AHPRAbodybold"/>
      </w:pPr>
      <w:r w:rsidRPr="00917055">
        <w:t>Slide 3</w:t>
      </w:r>
    </w:p>
    <w:p w:rsidR="0084088E" w:rsidRDefault="0084088E" w:rsidP="0084088E">
      <w:pPr>
        <w:pStyle w:val="AHPRAbody"/>
      </w:pPr>
      <w:r>
        <w:t>So what is professionalism?</w:t>
      </w:r>
    </w:p>
    <w:p w:rsidR="004B71D2" w:rsidRDefault="0084088E" w:rsidP="0084088E">
      <w:pPr>
        <w:pStyle w:val="AHPRAbody"/>
      </w:pPr>
      <w:r>
        <w:t xml:space="preserve">In 2009 Tim Wilkinson and colleagues performed a systematic review with three key aims.  </w:t>
      </w:r>
    </w:p>
    <w:p w:rsidR="004B71D2" w:rsidRDefault="0084088E" w:rsidP="0084088E">
      <w:pPr>
        <w:pStyle w:val="AHPRAbody"/>
      </w:pPr>
      <w:r>
        <w:t>They wanted to collate the various definitions of medical professionalism, to identify the various assessment tools used to measure professionalism and then match the</w:t>
      </w:r>
      <w:r w:rsidR="008E47B3">
        <w:t>se</w:t>
      </w:r>
      <w:r>
        <w:t xml:space="preserve"> tools to the aspects of professionalism that they assessed.  </w:t>
      </w:r>
    </w:p>
    <w:p w:rsidR="0084088E" w:rsidRDefault="0084088E" w:rsidP="0084088E">
      <w:pPr>
        <w:pStyle w:val="AHPRAbody"/>
      </w:pPr>
      <w:r>
        <w:t xml:space="preserve">The overall aim of this was to identify gaps in assessment of professionalism which may </w:t>
      </w:r>
      <w:r w:rsidR="008E47B3">
        <w:t xml:space="preserve">then </w:t>
      </w:r>
      <w:r>
        <w:t>stimulate development of new assessment tools.</w:t>
      </w:r>
    </w:p>
    <w:p w:rsidR="004B71D2" w:rsidRDefault="0084088E" w:rsidP="0084088E">
      <w:pPr>
        <w:pStyle w:val="AHPRAbody"/>
      </w:pPr>
      <w:r>
        <w:t>Following an extensive literature search, they identified five major themes of definitions or interpretation</w:t>
      </w:r>
      <w:r w:rsidR="008E47B3">
        <w:t>s</w:t>
      </w:r>
      <w:r>
        <w:t xml:space="preserve"> of professionalism. </w:t>
      </w:r>
    </w:p>
    <w:p w:rsidR="0084088E" w:rsidRDefault="008E47B3" w:rsidP="0084088E">
      <w:pPr>
        <w:pStyle w:val="AHPRAbody"/>
      </w:pPr>
      <w:r>
        <w:t>And t</w:t>
      </w:r>
      <w:r w:rsidR="0084088E">
        <w:t>hese included</w:t>
      </w:r>
      <w:r>
        <w:t>:</w:t>
      </w:r>
    </w:p>
    <w:p w:rsidR="0084088E" w:rsidRDefault="0084088E" w:rsidP="0084088E">
      <w:pPr>
        <w:pStyle w:val="AHPRANumberedlistlevel1"/>
      </w:pPr>
      <w:r>
        <w:t>Adherence to ethical principles</w:t>
      </w:r>
      <w:r w:rsidR="008E47B3">
        <w:t>. This included things like</w:t>
      </w:r>
      <w:r>
        <w:t xml:space="preserve"> honesty, integrity, truthfulness, moral reasoning, respect of privileges and codes of conduct</w:t>
      </w:r>
      <w:r w:rsidR="008E47B3">
        <w:t xml:space="preserve"> and</w:t>
      </w:r>
      <w:r>
        <w:t xml:space="preserve"> confidentiality</w:t>
      </w:r>
      <w:r w:rsidR="004B71D2">
        <w:t>.</w:t>
      </w:r>
      <w:r>
        <w:t xml:space="preserve"> </w:t>
      </w:r>
    </w:p>
    <w:p w:rsidR="00952B80" w:rsidRDefault="00952B80" w:rsidP="00952B80">
      <w:pPr>
        <w:pStyle w:val="AHPRANumberedlistlevel1"/>
        <w:numPr>
          <w:ilvl w:val="0"/>
          <w:numId w:val="0"/>
        </w:numPr>
        <w:ind w:left="369"/>
      </w:pPr>
    </w:p>
    <w:p w:rsidR="0084088E" w:rsidRDefault="008E47B3" w:rsidP="0084088E">
      <w:pPr>
        <w:pStyle w:val="AHPRANumberedlistlevel1"/>
      </w:pPr>
      <w:r>
        <w:t>The second group was around e</w:t>
      </w:r>
      <w:r w:rsidR="0084088E">
        <w:t xml:space="preserve">ffective interactions with patients </w:t>
      </w:r>
      <w:r>
        <w:t xml:space="preserve">and </w:t>
      </w:r>
      <w:r w:rsidR="0084088E">
        <w:t xml:space="preserve">those important to them such </w:t>
      </w:r>
      <w:r>
        <w:t xml:space="preserve">and this included things such </w:t>
      </w:r>
      <w:r w:rsidR="0084088E">
        <w:t xml:space="preserve">as respect for </w:t>
      </w:r>
      <w:r>
        <w:t xml:space="preserve">diversity and </w:t>
      </w:r>
      <w:r w:rsidR="0084088E">
        <w:t xml:space="preserve">uniqueness, politeness, courtesy, patience, </w:t>
      </w:r>
      <w:r>
        <w:t xml:space="preserve">and appropriate </w:t>
      </w:r>
      <w:r w:rsidR="0084088E">
        <w:t>manner</w:t>
      </w:r>
      <w:r>
        <w:t xml:space="preserve"> or </w:t>
      </w:r>
      <w:r w:rsidR="004B71D2">
        <w:t>demeanour</w:t>
      </w:r>
      <w:r w:rsidR="0084088E">
        <w:t xml:space="preserve">, </w:t>
      </w:r>
      <w:r>
        <w:t xml:space="preserve">respect for </w:t>
      </w:r>
      <w:r w:rsidR="0084088E">
        <w:t>professional boundaries,</w:t>
      </w:r>
      <w:r>
        <w:t xml:space="preserve"> the ability to</w:t>
      </w:r>
      <w:r w:rsidR="0084088E">
        <w:t xml:space="preserve"> balance availability </w:t>
      </w:r>
      <w:r w:rsidR="004B71D2">
        <w:t>and</w:t>
      </w:r>
      <w:r w:rsidR="0084088E">
        <w:t xml:space="preserve"> self-care, </w:t>
      </w:r>
      <w:r>
        <w:t xml:space="preserve">and other attributes such as </w:t>
      </w:r>
      <w:r w:rsidR="0084088E">
        <w:t>empathy, car</w:t>
      </w:r>
      <w:r>
        <w:t>e</w:t>
      </w:r>
      <w:r w:rsidR="0084088E">
        <w:t>, compassion, rapport and shared decision</w:t>
      </w:r>
      <w:r w:rsidR="004B71D2">
        <w:t>-</w:t>
      </w:r>
      <w:r w:rsidR="0084088E">
        <w:t>making</w:t>
      </w:r>
      <w:r w:rsidR="004B71D2">
        <w:t>.</w:t>
      </w:r>
      <w:r w:rsidR="0084088E">
        <w:t xml:space="preserve"> </w:t>
      </w:r>
    </w:p>
    <w:p w:rsidR="00952B80" w:rsidRDefault="00952B80" w:rsidP="00952B80">
      <w:pPr>
        <w:pStyle w:val="ListParagraph"/>
      </w:pPr>
    </w:p>
    <w:p w:rsidR="00952B80" w:rsidRDefault="00952B80" w:rsidP="00952B80">
      <w:pPr>
        <w:pStyle w:val="AHPRANumberedlistlevel1"/>
        <w:numPr>
          <w:ilvl w:val="0"/>
          <w:numId w:val="0"/>
        </w:numPr>
        <w:ind w:left="369"/>
      </w:pPr>
    </w:p>
    <w:p w:rsidR="00952B80" w:rsidRDefault="008E47B3" w:rsidP="00C60EAD">
      <w:pPr>
        <w:pStyle w:val="AHPRANumberedlistlevel1"/>
      </w:pPr>
      <w:r>
        <w:t xml:space="preserve">The next theme was around </w:t>
      </w:r>
      <w:r w:rsidR="00AE2690">
        <w:t>effective</w:t>
      </w:r>
      <w:r w:rsidR="0084088E">
        <w:t xml:space="preserve"> interactions with others working within the health system</w:t>
      </w:r>
      <w:r>
        <w:t xml:space="preserve"> and this</w:t>
      </w:r>
      <w:r w:rsidR="00E76A15">
        <w:t xml:space="preserve"> again</w:t>
      </w:r>
      <w:r>
        <w:t xml:space="preserve"> included ma</w:t>
      </w:r>
      <w:r w:rsidR="00E76A15">
        <w:t>n</w:t>
      </w:r>
      <w:r>
        <w:t xml:space="preserve">y </w:t>
      </w:r>
      <w:r w:rsidR="00E76A15">
        <w:t xml:space="preserve">of the </w:t>
      </w:r>
      <w:r>
        <w:t>previous aspects</w:t>
      </w:r>
      <w:r w:rsidR="0084088E">
        <w:t xml:space="preserve"> </w:t>
      </w:r>
      <w:r w:rsidR="00E76A15">
        <w:t>such as</w:t>
      </w:r>
      <w:r w:rsidR="0084088E">
        <w:t xml:space="preserve"> respect for diversity</w:t>
      </w:r>
      <w:r>
        <w:t xml:space="preserve"> or </w:t>
      </w:r>
      <w:r w:rsidR="0084088E">
        <w:t xml:space="preserve">uniqueness, politeness, courtesy, patience, </w:t>
      </w:r>
      <w:r w:rsidR="00E76A15">
        <w:t xml:space="preserve">and appropriate </w:t>
      </w:r>
      <w:r w:rsidR="0084088E">
        <w:t>manner</w:t>
      </w:r>
      <w:r w:rsidR="00E76A15">
        <w:t xml:space="preserve"> or </w:t>
      </w:r>
      <w:r w:rsidR="004B71D2">
        <w:t>demeanour</w:t>
      </w:r>
      <w:r w:rsidR="0084088E">
        <w:t>, professional boundaries, balance</w:t>
      </w:r>
      <w:r w:rsidR="002F6984">
        <w:t xml:space="preserve"> availability </w:t>
      </w:r>
      <w:r w:rsidR="004B71D2">
        <w:t>and</w:t>
      </w:r>
      <w:r w:rsidR="002F6984">
        <w:t xml:space="preserve"> self-care</w:t>
      </w:r>
      <w:r w:rsidR="00E76A15">
        <w:t xml:space="preserve"> but also this of course included</w:t>
      </w:r>
      <w:r w:rsidR="002F6984">
        <w:t xml:space="preserve"> </w:t>
      </w:r>
      <w:r w:rsidR="0084088E">
        <w:t>teamwork</w:t>
      </w:r>
      <w:r w:rsidR="002F6984">
        <w:t>.</w:t>
      </w:r>
    </w:p>
    <w:p w:rsidR="00952B80" w:rsidRDefault="00952B80" w:rsidP="00952B80">
      <w:pPr>
        <w:pStyle w:val="AHPRANumberedlistlevel1"/>
        <w:numPr>
          <w:ilvl w:val="0"/>
          <w:numId w:val="0"/>
        </w:numPr>
        <w:ind w:left="369"/>
      </w:pPr>
    </w:p>
    <w:p w:rsidR="00917055" w:rsidRPr="00917055" w:rsidRDefault="00917055" w:rsidP="00917055">
      <w:pPr>
        <w:pStyle w:val="AHPRAbodybold"/>
      </w:pPr>
      <w:r w:rsidRPr="00917055">
        <w:t>Slide 4</w:t>
      </w:r>
    </w:p>
    <w:p w:rsidR="00E76A15" w:rsidRDefault="00E76A15" w:rsidP="0084088E">
      <w:pPr>
        <w:pStyle w:val="AHPRANumberedlistlevel1"/>
      </w:pPr>
      <w:r>
        <w:t>So the fourth area of themes related to r</w:t>
      </w:r>
      <w:r w:rsidR="0084088E">
        <w:t>eliability including accountability</w:t>
      </w:r>
      <w:r>
        <w:t xml:space="preserve">, </w:t>
      </w:r>
      <w:r w:rsidR="0084088E">
        <w:t>completion of tasks, punctuality</w:t>
      </w:r>
      <w:r>
        <w:t xml:space="preserve">, being able to </w:t>
      </w:r>
      <w:r w:rsidR="0084088E">
        <w:t>tak</w:t>
      </w:r>
      <w:r>
        <w:t>e</w:t>
      </w:r>
      <w:r w:rsidR="0084088E">
        <w:t xml:space="preserve"> responsibility</w:t>
      </w:r>
      <w:r>
        <w:t xml:space="preserve"> and </w:t>
      </w:r>
      <w:r w:rsidR="0084088E">
        <w:t>being organised</w:t>
      </w:r>
      <w:r>
        <w:t xml:space="preserve">. </w:t>
      </w:r>
    </w:p>
    <w:p w:rsidR="00952B80" w:rsidRDefault="00952B80" w:rsidP="00952B80">
      <w:pPr>
        <w:pStyle w:val="AHPRANumberedlistlevel1"/>
        <w:numPr>
          <w:ilvl w:val="0"/>
          <w:numId w:val="0"/>
        </w:numPr>
        <w:ind w:left="369"/>
      </w:pPr>
    </w:p>
    <w:p w:rsidR="00E76A15" w:rsidRDefault="00E76A15" w:rsidP="0084088E">
      <w:pPr>
        <w:pStyle w:val="AHPRANumberedlistlevel1"/>
      </w:pPr>
      <w:r>
        <w:t xml:space="preserve">The final theme relates to </w:t>
      </w:r>
      <w:r w:rsidR="0084088E">
        <w:t xml:space="preserve">commitment to autonomous maintenance </w:t>
      </w:r>
      <w:r w:rsidR="002F6984">
        <w:t>and</w:t>
      </w:r>
      <w:r w:rsidR="0084088E">
        <w:t xml:space="preserve"> continuous improvement of competence </w:t>
      </w:r>
      <w:r>
        <w:t>and this was considered in three areas:</w:t>
      </w:r>
    </w:p>
    <w:p w:rsidR="00952B80" w:rsidRDefault="00952B80" w:rsidP="00952B80">
      <w:pPr>
        <w:pStyle w:val="AHPRANumberedlistlevel1"/>
        <w:numPr>
          <w:ilvl w:val="0"/>
          <w:numId w:val="0"/>
        </w:numPr>
        <w:ind w:left="369"/>
      </w:pPr>
    </w:p>
    <w:p w:rsidR="00952B80" w:rsidRDefault="00E76A15" w:rsidP="00952B80">
      <w:pPr>
        <w:pStyle w:val="AHPRANumberedlistlevel1"/>
        <w:numPr>
          <w:ilvl w:val="0"/>
          <w:numId w:val="22"/>
        </w:numPr>
      </w:pPr>
      <w:r>
        <w:t>in relation to the self</w:t>
      </w:r>
      <w:r w:rsidR="0084088E">
        <w:t xml:space="preserve"> </w:t>
      </w:r>
      <w:r>
        <w:t xml:space="preserve">and including things such as </w:t>
      </w:r>
      <w:r w:rsidR="0084088E">
        <w:t>reflection, seeking and respond</w:t>
      </w:r>
      <w:r>
        <w:t>ing</w:t>
      </w:r>
      <w:r w:rsidR="0084088E">
        <w:t xml:space="preserve"> to feedback, </w:t>
      </w:r>
      <w:r>
        <w:t xml:space="preserve">being focussed on </w:t>
      </w:r>
      <w:r w:rsidR="0084088E">
        <w:t>lifelong learning</w:t>
      </w:r>
      <w:r>
        <w:t xml:space="preserve"> and the ability to </w:t>
      </w:r>
      <w:r w:rsidR="0084088E">
        <w:t>deal</w:t>
      </w:r>
      <w:r>
        <w:t xml:space="preserve"> </w:t>
      </w:r>
      <w:r w:rsidR="0084088E">
        <w:t>with uncertainty</w:t>
      </w:r>
    </w:p>
    <w:p w:rsidR="00952B80" w:rsidRDefault="00E76A15" w:rsidP="00952B80">
      <w:pPr>
        <w:pStyle w:val="AHPRABulletlevel1"/>
      </w:pPr>
      <w:r>
        <w:t>this was also focussed on interaction with</w:t>
      </w:r>
      <w:r w:rsidR="0084088E">
        <w:t xml:space="preserve"> others </w:t>
      </w:r>
      <w:r>
        <w:t xml:space="preserve">such as </w:t>
      </w:r>
      <w:r w:rsidR="0084088E">
        <w:t>providing feedback</w:t>
      </w:r>
      <w:r>
        <w:t xml:space="preserve"> and </w:t>
      </w:r>
      <w:r w:rsidR="0084088E">
        <w:t>teaching</w:t>
      </w:r>
      <w:r>
        <w:t xml:space="preserve"> and appropriate </w:t>
      </w:r>
      <w:r w:rsidR="0084088E">
        <w:t>people management</w:t>
      </w:r>
      <w:r w:rsidR="004B71D2">
        <w:t>,</w:t>
      </w:r>
      <w:r>
        <w:t xml:space="preserve"> and</w:t>
      </w:r>
    </w:p>
    <w:p w:rsidR="00952B80" w:rsidRDefault="00E76A15" w:rsidP="00952B80">
      <w:pPr>
        <w:pStyle w:val="AHPRABulletlevel1"/>
      </w:pPr>
      <w:r>
        <w:t>it also included interaction with s</w:t>
      </w:r>
      <w:r w:rsidR="0084088E">
        <w:t>ystems</w:t>
      </w:r>
      <w:r>
        <w:t xml:space="preserve"> and that involved such </w:t>
      </w:r>
      <w:r w:rsidR="0084088E">
        <w:t xml:space="preserve">aspects such as advocacy, seeking </w:t>
      </w:r>
      <w:r w:rsidR="002F6984">
        <w:t>and</w:t>
      </w:r>
      <w:r w:rsidR="0084088E">
        <w:t xml:space="preserve"> responding to results of</w:t>
      </w:r>
      <w:r>
        <w:t xml:space="preserve"> an</w:t>
      </w:r>
      <w:r w:rsidR="0084088E">
        <w:t xml:space="preserve"> audit</w:t>
      </w:r>
      <w:r>
        <w:t xml:space="preserve"> and </w:t>
      </w:r>
      <w:r w:rsidR="0084088E">
        <w:t>advancing knowledge in the profession</w:t>
      </w:r>
      <w:r w:rsidR="002F6984">
        <w:t>.</w:t>
      </w:r>
    </w:p>
    <w:p w:rsidR="00917055" w:rsidRPr="00917055" w:rsidRDefault="00917055" w:rsidP="00917055">
      <w:pPr>
        <w:pStyle w:val="AHPRASubheadinglevel2"/>
      </w:pPr>
      <w:r w:rsidRPr="00917055">
        <w:t>Slide 5</w:t>
      </w:r>
    </w:p>
    <w:p w:rsidR="00057876" w:rsidRDefault="00057876" w:rsidP="00057876">
      <w:pPr>
        <w:pStyle w:val="AHPRAbody"/>
      </w:pPr>
      <w:r>
        <w:t xml:space="preserve">There is a much smaller literature dealing specifically with </w:t>
      </w:r>
      <w:r w:rsidR="00E76A15">
        <w:t>c</w:t>
      </w:r>
      <w:r>
        <w:t xml:space="preserve">hiropractic </w:t>
      </w:r>
      <w:r w:rsidR="00E76A15">
        <w:t>p</w:t>
      </w:r>
      <w:r>
        <w:t xml:space="preserve">rofessionalism, however there is clear overlap between the definitions identified by Wilkinson </w:t>
      </w:r>
      <w:r w:rsidR="00E76A15">
        <w:t>and</w:t>
      </w:r>
      <w:r>
        <w:t xml:space="preserve"> colleagues, and the information contained within the websites of both Australian professional associations.</w:t>
      </w:r>
    </w:p>
    <w:p w:rsidR="00E76A15" w:rsidRDefault="00057876" w:rsidP="00057876">
      <w:pPr>
        <w:pStyle w:val="AHPRAbody"/>
      </w:pPr>
      <w:r>
        <w:t xml:space="preserve">The Chiropractic Association of Australia lists </w:t>
      </w:r>
      <w:r w:rsidR="00E76A15">
        <w:t>c</w:t>
      </w:r>
      <w:r>
        <w:t xml:space="preserve">ore </w:t>
      </w:r>
      <w:r w:rsidR="00E76A15">
        <w:t>v</w:t>
      </w:r>
      <w:r>
        <w:t>alues on their website, and this includes reference to ethics and professionalism</w:t>
      </w:r>
      <w:r w:rsidR="00E76A15">
        <w:t>.</w:t>
      </w:r>
    </w:p>
    <w:p w:rsidR="00057876" w:rsidRDefault="00E76A15" w:rsidP="00057876">
      <w:pPr>
        <w:pStyle w:val="AHPRAbody"/>
      </w:pPr>
      <w:r>
        <w:t>It also includes focus on</w:t>
      </w:r>
      <w:r w:rsidR="00057876">
        <w:t xml:space="preserve"> integration of research evidence, </w:t>
      </w:r>
      <w:r>
        <w:t xml:space="preserve">appropriate </w:t>
      </w:r>
      <w:r w:rsidR="00057876">
        <w:t xml:space="preserve">clinical expertise, </w:t>
      </w:r>
      <w:r>
        <w:t xml:space="preserve">makes reference to </w:t>
      </w:r>
      <w:r w:rsidR="00057876">
        <w:t>patient values and choices</w:t>
      </w:r>
      <w:r>
        <w:t xml:space="preserve"> and attributes of</w:t>
      </w:r>
      <w:r w:rsidR="00057876">
        <w:t xml:space="preserve"> inclusiveness and collaborative relationships within and outside the chiropractic profession</w:t>
      </w:r>
      <w:r>
        <w:t>.</w:t>
      </w:r>
    </w:p>
    <w:p w:rsidR="00057876" w:rsidRDefault="00057876" w:rsidP="00057876">
      <w:pPr>
        <w:pStyle w:val="AHPRAbody"/>
      </w:pPr>
      <w:r>
        <w:t xml:space="preserve">They also have an ethics statement which highlights the importance of personal, patient, community, clinical and professional ethics </w:t>
      </w:r>
      <w:r w:rsidR="00E76A15">
        <w:t xml:space="preserve">and they make </w:t>
      </w:r>
      <w:r>
        <w:t>with spe</w:t>
      </w:r>
      <w:r w:rsidR="002F6984">
        <w:t>cific reference to maintaining and</w:t>
      </w:r>
      <w:r>
        <w:t xml:space="preserve"> developing competence</w:t>
      </w:r>
      <w:r w:rsidR="00E76A15">
        <w:t xml:space="preserve"> within this</w:t>
      </w:r>
      <w:r>
        <w:t xml:space="preserve">.  </w:t>
      </w:r>
    </w:p>
    <w:p w:rsidR="00B57AFD" w:rsidRPr="00917055" w:rsidRDefault="00B57AFD" w:rsidP="00B57AFD">
      <w:pPr>
        <w:pStyle w:val="AHPRAbodybold"/>
      </w:pPr>
      <w:r w:rsidRPr="00917055">
        <w:t>Slide 6</w:t>
      </w:r>
    </w:p>
    <w:p w:rsidR="00E76A15" w:rsidRDefault="00057876" w:rsidP="00057876">
      <w:pPr>
        <w:pStyle w:val="AHPRAbody"/>
      </w:pPr>
      <w:r w:rsidRPr="00057876">
        <w:t xml:space="preserve">Chiropractic Australia outlines in their </w:t>
      </w:r>
      <w:r w:rsidR="00E76A15">
        <w:t>m</w:t>
      </w:r>
      <w:r w:rsidRPr="00057876">
        <w:t xml:space="preserve">ission </w:t>
      </w:r>
      <w:r w:rsidR="00E76A15">
        <w:t>s</w:t>
      </w:r>
      <w:r w:rsidRPr="00057876">
        <w:t xml:space="preserve">tatement that they expect members to provide safe, ethical and effective evidence-based chiropractic care.  </w:t>
      </w:r>
    </w:p>
    <w:p w:rsidR="00057876" w:rsidRDefault="00057876" w:rsidP="00057876">
      <w:pPr>
        <w:pStyle w:val="AHPRAbody"/>
      </w:pPr>
      <w:r w:rsidRPr="00057876">
        <w:t xml:space="preserve">They make reference to inter-professional, high quality, patient-focused care. And </w:t>
      </w:r>
      <w:r w:rsidR="00E76A15">
        <w:t xml:space="preserve">they </w:t>
      </w:r>
      <w:r w:rsidRPr="00057876">
        <w:t>highlight their commitment to key values around honesty, integrity and clinical practice which is ethical, accountable and visionary.</w:t>
      </w:r>
    </w:p>
    <w:p w:rsidR="00917055" w:rsidRPr="00917055" w:rsidRDefault="00917055" w:rsidP="00917055">
      <w:pPr>
        <w:pStyle w:val="AHPRAbodybold"/>
      </w:pPr>
      <w:r w:rsidRPr="00917055">
        <w:t>Slide 7</w:t>
      </w:r>
    </w:p>
    <w:p w:rsidR="00E76A15" w:rsidRDefault="00A276D5" w:rsidP="00A276D5">
      <w:pPr>
        <w:pStyle w:val="AHPRAbody"/>
      </w:pPr>
      <w:r>
        <w:t>From a regulatory perspective, professionalism also features within the National Law</w:t>
      </w:r>
      <w:r w:rsidR="00E76A15">
        <w:rPr>
          <w:rStyle w:val="FootnoteReference"/>
        </w:rPr>
        <w:footnoteReference w:id="2"/>
      </w:r>
      <w:r>
        <w:t xml:space="preserve">. </w:t>
      </w:r>
    </w:p>
    <w:p w:rsidR="00E76A15" w:rsidRDefault="00A276D5" w:rsidP="00A276D5">
      <w:pPr>
        <w:pStyle w:val="AHPRAbody"/>
      </w:pPr>
      <w:r>
        <w:t>The National Law is heavily focused on patient safety. Section 3 highlights that the main pr</w:t>
      </w:r>
      <w:r w:rsidR="002F6984">
        <w:t>inciple for administering this A</w:t>
      </w:r>
      <w:r>
        <w:t xml:space="preserve">ct is that the health and safety of the public are paramount. </w:t>
      </w:r>
    </w:p>
    <w:p w:rsidR="00E76A15" w:rsidRDefault="00A276D5" w:rsidP="00A276D5">
      <w:pPr>
        <w:pStyle w:val="AHPRAbody"/>
      </w:pPr>
      <w:r>
        <w:t xml:space="preserve">It’s perhaps not surprising then, that the focus of professionalism is more on what it is not, rather than what it is. </w:t>
      </w:r>
    </w:p>
    <w:p w:rsidR="00A276D5" w:rsidRDefault="00A276D5" w:rsidP="00A276D5">
      <w:pPr>
        <w:pStyle w:val="AHPRAbody"/>
      </w:pPr>
      <w:r>
        <w:lastRenderedPageBreak/>
        <w:t>In section 5 of the National Law there are definitions for both professional misconduct and unprofessional conduct:</w:t>
      </w:r>
    </w:p>
    <w:p w:rsidR="00A276D5" w:rsidRPr="00E76A15" w:rsidRDefault="00E76A15" w:rsidP="00E76A15">
      <w:pPr>
        <w:pStyle w:val="AHPRABulletlevel1"/>
      </w:pPr>
      <w:r>
        <w:t>p</w:t>
      </w:r>
      <w:r w:rsidR="00A276D5" w:rsidRPr="00E76A15">
        <w:t>rofessional misconduct is defined as conduct substantially below the standard reasonably expected of a registered health practitioner</w:t>
      </w:r>
      <w:r>
        <w:t xml:space="preserve">, </w:t>
      </w:r>
      <w:r w:rsidR="00A276D5" w:rsidRPr="00E76A15">
        <w:t>whether occurring in connection with practice or no</w:t>
      </w:r>
      <w:r>
        <w:t>t</w:t>
      </w:r>
      <w:r w:rsidR="00A276D5" w:rsidRPr="00E76A15">
        <w:t xml:space="preserve">, </w:t>
      </w:r>
      <w:r>
        <w:t>and</w:t>
      </w:r>
    </w:p>
    <w:p w:rsidR="00057876" w:rsidRPr="00E76A15" w:rsidRDefault="00E76A15" w:rsidP="00E76A15">
      <w:pPr>
        <w:pStyle w:val="AHPRABulletlevel1"/>
      </w:pPr>
      <w:r>
        <w:t>u</w:t>
      </w:r>
      <w:r w:rsidR="00A276D5" w:rsidRPr="00E76A15">
        <w:t>nprofessional conduct is considered to include contravention of conditions or undertakings, convictions, over servicing, influencing other health practitioners to compromise patient care, inducements for referrals and so on.</w:t>
      </w:r>
    </w:p>
    <w:p w:rsidR="00A276D5" w:rsidRDefault="00A276D5" w:rsidP="00917055">
      <w:pPr>
        <w:pStyle w:val="AHPRAbody"/>
      </w:pPr>
    </w:p>
    <w:p w:rsidR="00A276D5" w:rsidRPr="00917055" w:rsidRDefault="00A276D5" w:rsidP="00A276D5">
      <w:pPr>
        <w:pStyle w:val="AHPRAbodybold"/>
      </w:pPr>
      <w:r>
        <w:t>Slide 8</w:t>
      </w:r>
    </w:p>
    <w:p w:rsidR="00A276D5" w:rsidRDefault="00A276D5" w:rsidP="00A276D5">
      <w:pPr>
        <w:pStyle w:val="AHPRAbody"/>
      </w:pPr>
      <w:r>
        <w:t xml:space="preserve">This infographic (taken from the AHPRA website) shows the objectives of the National Registration and Accreditation Scheme </w:t>
      </w:r>
      <w:r w:rsidR="005535F0">
        <w:t xml:space="preserve">or </w:t>
      </w:r>
      <w:r>
        <w:t xml:space="preserve">the National Scheme and </w:t>
      </w:r>
      <w:r w:rsidR="005535F0">
        <w:t xml:space="preserve">the various </w:t>
      </w:r>
      <w:r>
        <w:t xml:space="preserve">actions that support them. </w:t>
      </w:r>
    </w:p>
    <w:p w:rsidR="00A276D5" w:rsidRDefault="00A276D5" w:rsidP="00A276D5">
      <w:pPr>
        <w:pStyle w:val="AHPRAbody"/>
      </w:pPr>
      <w:r>
        <w:t>AHPRA</w:t>
      </w:r>
      <w:r w:rsidR="005535F0">
        <w:rPr>
          <w:rStyle w:val="FootnoteReference"/>
        </w:rPr>
        <w:footnoteReference w:id="3"/>
      </w:r>
      <w:r>
        <w:t xml:space="preserve"> and 14 health profession boards (National Boards) work together to deliver the scheme.</w:t>
      </w:r>
    </w:p>
    <w:p w:rsidR="00A276D5" w:rsidRDefault="00A276D5" w:rsidP="00A276D5">
      <w:pPr>
        <w:pStyle w:val="AHPRAbody"/>
      </w:pPr>
      <w:r>
        <w:t>Starting from the 12 o’clock position all t</w:t>
      </w:r>
      <w:r w:rsidR="002F6984">
        <w:t>he work of the National Boards and</w:t>
      </w:r>
      <w:r>
        <w:t xml:space="preserve"> AHPRA is focused on protection of the public</w:t>
      </w:r>
      <w:r w:rsidR="005535F0">
        <w:t xml:space="preserve"> and</w:t>
      </w:r>
      <w:r>
        <w:t xml:space="preserve"> this is done through setting national standards, auditing compliance, managing complaints about health practitioners, publishing the online register, accrediting training and education, facilitating a mobile health workforce and registering the over 630,000 health practitioners from the 14 health professions covered under the National Registration </w:t>
      </w:r>
      <w:r w:rsidR="005535F0">
        <w:t>and</w:t>
      </w:r>
      <w:r>
        <w:t xml:space="preserve"> Accreditation Scheme.</w:t>
      </w:r>
    </w:p>
    <w:p w:rsidR="00A276D5" w:rsidRDefault="00A276D5" w:rsidP="00A276D5">
      <w:pPr>
        <w:pStyle w:val="AHPRAbody"/>
      </w:pPr>
      <w:r>
        <w:t>There are a number of areas where professionalism features in these roles:</w:t>
      </w:r>
    </w:p>
    <w:p w:rsidR="00A276D5" w:rsidRDefault="005535F0" w:rsidP="00A276D5">
      <w:pPr>
        <w:pStyle w:val="AHPRABulletlevel1"/>
      </w:pPr>
      <w:r>
        <w:t xml:space="preserve">the </w:t>
      </w:r>
      <w:r w:rsidR="00A276D5">
        <w:t>setting of national standards is how Boards educate the professions about their expectations for professionalism</w:t>
      </w:r>
    </w:p>
    <w:p w:rsidR="00A276D5" w:rsidRDefault="00A276D5" w:rsidP="00A276D5">
      <w:pPr>
        <w:pStyle w:val="AHPRABulletlevel1"/>
      </w:pPr>
      <w:r>
        <w:t>auditing compliance is one way the Board assesses professionalism</w:t>
      </w:r>
    </w:p>
    <w:p w:rsidR="00A276D5" w:rsidRDefault="005535F0" w:rsidP="00A276D5">
      <w:pPr>
        <w:pStyle w:val="AHPRABulletlevel1"/>
      </w:pPr>
      <w:r>
        <w:t xml:space="preserve">and </w:t>
      </w:r>
      <w:r w:rsidR="00A276D5">
        <w:t>complaints management has elements of both assessment and, if required, remediation of professional behaviours, and</w:t>
      </w:r>
    </w:p>
    <w:p w:rsidR="00952B80" w:rsidRDefault="00A276D5" w:rsidP="00952B80">
      <w:pPr>
        <w:pStyle w:val="AHPRABulletlevel1"/>
        <w:numPr>
          <w:ilvl w:val="0"/>
          <w:numId w:val="0"/>
        </w:numPr>
        <w:ind w:left="720"/>
      </w:pPr>
      <w:r>
        <w:t>accreditation functions</w:t>
      </w:r>
      <w:r w:rsidR="005535F0">
        <w:t xml:space="preserve"> </w:t>
      </w:r>
      <w:r>
        <w:t xml:space="preserve">for us via </w:t>
      </w:r>
      <w:r w:rsidR="002F6984">
        <w:t xml:space="preserve">the </w:t>
      </w:r>
      <w:r>
        <w:t>Council on Chiropractic Education Australasia relates to both education, assessment and in some cases remediation of professionalism as well.</w:t>
      </w:r>
    </w:p>
    <w:p w:rsidR="00952B80" w:rsidRDefault="00952B80" w:rsidP="00952B80">
      <w:pPr>
        <w:pStyle w:val="AHPRABulletlevel1"/>
      </w:pPr>
    </w:p>
    <w:p w:rsidR="00A276D5" w:rsidRDefault="00A276D5" w:rsidP="00917055">
      <w:pPr>
        <w:pStyle w:val="AHPRAbody"/>
      </w:pPr>
      <w:r>
        <w:t xml:space="preserve">I’ll provide some more detail around the Board’s role in </w:t>
      </w:r>
      <w:r w:rsidR="009C3A5C">
        <w:t>e</w:t>
      </w:r>
      <w:r>
        <w:t xml:space="preserve">ducation, </w:t>
      </w:r>
      <w:r w:rsidR="009C3A5C">
        <w:t>assessment</w:t>
      </w:r>
      <w:r>
        <w:t xml:space="preserve"> and </w:t>
      </w:r>
      <w:r w:rsidR="009C3A5C">
        <w:t>r</w:t>
      </w:r>
      <w:r>
        <w:t>emediation of professionalism now. </w:t>
      </w:r>
    </w:p>
    <w:p w:rsidR="00A276D5" w:rsidRPr="00A276D5" w:rsidRDefault="00A276D5" w:rsidP="00917055">
      <w:pPr>
        <w:pStyle w:val="AHPRAbody"/>
        <w:rPr>
          <w:b/>
        </w:rPr>
      </w:pPr>
      <w:r w:rsidRPr="00A276D5">
        <w:rPr>
          <w:b/>
        </w:rPr>
        <w:t>Slide 9</w:t>
      </w:r>
    </w:p>
    <w:p w:rsidR="00A276D5" w:rsidRPr="00D72A5F" w:rsidRDefault="00A276D5" w:rsidP="00A276D5">
      <w:pPr>
        <w:rPr>
          <w:sz w:val="20"/>
        </w:rPr>
      </w:pPr>
      <w:r w:rsidRPr="00D72A5F">
        <w:rPr>
          <w:sz w:val="20"/>
        </w:rPr>
        <w:t xml:space="preserve">In terms of </w:t>
      </w:r>
      <w:r w:rsidR="009C3A5C">
        <w:rPr>
          <w:sz w:val="20"/>
        </w:rPr>
        <w:t>p</w:t>
      </w:r>
      <w:r w:rsidRPr="00D72A5F">
        <w:rPr>
          <w:sz w:val="20"/>
        </w:rPr>
        <w:t xml:space="preserve">rofessionalism </w:t>
      </w:r>
      <w:r w:rsidR="009C3A5C">
        <w:rPr>
          <w:sz w:val="20"/>
        </w:rPr>
        <w:t>e</w:t>
      </w:r>
      <w:r w:rsidRPr="00D72A5F">
        <w:rPr>
          <w:sz w:val="20"/>
        </w:rPr>
        <w:t xml:space="preserve">ducation in a </w:t>
      </w:r>
      <w:r w:rsidR="009C3A5C">
        <w:rPr>
          <w:sz w:val="20"/>
        </w:rPr>
        <w:t>r</w:t>
      </w:r>
      <w:r w:rsidRPr="00D72A5F">
        <w:rPr>
          <w:sz w:val="20"/>
        </w:rPr>
        <w:t xml:space="preserve">egulatory </w:t>
      </w:r>
      <w:r w:rsidR="009C3A5C">
        <w:rPr>
          <w:sz w:val="20"/>
        </w:rPr>
        <w:t>c</w:t>
      </w:r>
      <w:r w:rsidRPr="00D72A5F">
        <w:rPr>
          <w:sz w:val="20"/>
        </w:rPr>
        <w:t xml:space="preserve">ontext the </w:t>
      </w:r>
      <w:r w:rsidR="009C3A5C">
        <w:rPr>
          <w:sz w:val="20"/>
        </w:rPr>
        <w:t>B</w:t>
      </w:r>
      <w:r w:rsidRPr="00D72A5F">
        <w:rPr>
          <w:sz w:val="20"/>
        </w:rPr>
        <w:t>oard has a number of ways to educate the profession about the requireme</w:t>
      </w:r>
      <w:r>
        <w:rPr>
          <w:sz w:val="20"/>
        </w:rPr>
        <w:t>nts for professional practice:</w:t>
      </w:r>
    </w:p>
    <w:p w:rsidR="00A276D5" w:rsidRPr="00D72A5F" w:rsidRDefault="009C3A5C" w:rsidP="00A276D5">
      <w:pPr>
        <w:pStyle w:val="AHPRABulletlevel1"/>
      </w:pPr>
      <w:r>
        <w:t>t</w:t>
      </w:r>
      <w:r w:rsidR="00A276D5" w:rsidRPr="00D72A5F">
        <w:t xml:space="preserve">he </w:t>
      </w:r>
      <w:r w:rsidR="00A276D5">
        <w:t>B</w:t>
      </w:r>
      <w:r w:rsidR="00A276D5" w:rsidRPr="00D72A5F">
        <w:t xml:space="preserve">oard develops codes </w:t>
      </w:r>
      <w:r>
        <w:t>and</w:t>
      </w:r>
      <w:r w:rsidR="00A276D5" w:rsidRPr="00D72A5F">
        <w:t xml:space="preserve"> guidelines and publishes th</w:t>
      </w:r>
      <w:r w:rsidR="002F6984">
        <w:t>ese on the AHPRA and</w:t>
      </w:r>
      <w:r w:rsidR="00A276D5">
        <w:t xml:space="preserve"> </w:t>
      </w:r>
      <w:r>
        <w:t>Chiropractic Board of Australia</w:t>
      </w:r>
      <w:r w:rsidR="00A276D5">
        <w:t xml:space="preserve"> websites</w:t>
      </w:r>
    </w:p>
    <w:p w:rsidR="00A276D5" w:rsidRPr="00D72A5F" w:rsidRDefault="009C3A5C" w:rsidP="00A276D5">
      <w:pPr>
        <w:pStyle w:val="AHPRABulletlevel1"/>
      </w:pPr>
      <w:r>
        <w:t>t</w:t>
      </w:r>
      <w:r w:rsidR="00A276D5" w:rsidRPr="00D72A5F">
        <w:t xml:space="preserve">he </w:t>
      </w:r>
      <w:r w:rsidR="00A276D5">
        <w:t>B</w:t>
      </w:r>
      <w:r w:rsidR="00A276D5" w:rsidRPr="00D72A5F">
        <w:t>oard sends updates to the profession on various matters</w:t>
      </w:r>
      <w:r>
        <w:t xml:space="preserve">, </w:t>
      </w:r>
      <w:r w:rsidR="00A276D5" w:rsidRPr="00D72A5F">
        <w:t>often relat</w:t>
      </w:r>
      <w:r w:rsidR="00A276D5">
        <w:t>ed to professionalism</w:t>
      </w:r>
      <w:r>
        <w:t>,</w:t>
      </w:r>
      <w:r w:rsidR="00A276D5">
        <w:t xml:space="preserve"> through n</w:t>
      </w:r>
      <w:r w:rsidR="002F6984">
        <w:t>ewsletters and</w:t>
      </w:r>
      <w:r w:rsidR="00A276D5" w:rsidRPr="00D72A5F">
        <w:t xml:space="preserve"> </w:t>
      </w:r>
      <w:r w:rsidR="00A276D5">
        <w:t>c</w:t>
      </w:r>
      <w:r w:rsidR="00A276D5" w:rsidRPr="00D72A5F">
        <w:t>ommuniqués</w:t>
      </w:r>
    </w:p>
    <w:p w:rsidR="00A276D5" w:rsidRDefault="009C3A5C" w:rsidP="00A276D5">
      <w:pPr>
        <w:pStyle w:val="AHPRABulletlevel1"/>
      </w:pPr>
      <w:r>
        <w:t>t</w:t>
      </w:r>
      <w:r w:rsidR="00A276D5" w:rsidRPr="00D72A5F">
        <w:t xml:space="preserve">he </w:t>
      </w:r>
      <w:r w:rsidR="00A276D5">
        <w:t>B</w:t>
      </w:r>
      <w:r w:rsidR="00A276D5" w:rsidRPr="00D72A5F">
        <w:t>oard holds seminars</w:t>
      </w:r>
      <w:r>
        <w:t xml:space="preserve">, </w:t>
      </w:r>
      <w:r w:rsidR="00A276D5" w:rsidRPr="00D72A5F">
        <w:t>such as this one</w:t>
      </w:r>
      <w:r>
        <w:t>,</w:t>
      </w:r>
      <w:r w:rsidR="00A276D5" w:rsidRPr="00D72A5F">
        <w:t xml:space="preserve"> for various stakeholders which often focus on</w:t>
      </w:r>
      <w:r w:rsidR="00A276D5">
        <w:t xml:space="preserve"> issues around professionalism</w:t>
      </w:r>
      <w:r>
        <w:t>, and</w:t>
      </w:r>
    </w:p>
    <w:p w:rsidR="009C3A5C" w:rsidRPr="00D72A5F" w:rsidRDefault="009C3A5C" w:rsidP="00A276D5">
      <w:pPr>
        <w:pStyle w:val="AHPRABulletlevel1"/>
      </w:pPr>
      <w:r>
        <w:t>e</w:t>
      </w:r>
      <w:r w:rsidR="00A276D5" w:rsidRPr="00D72A5F">
        <w:t xml:space="preserve">ducation of students and assessment of overseas practitioners is undertaken by the Council on Chiropractic Education </w:t>
      </w:r>
      <w:r w:rsidR="00A276D5" w:rsidRPr="00A276D5">
        <w:t>Australasia</w:t>
      </w:r>
      <w:r w:rsidR="00A276D5" w:rsidRPr="00D72A5F">
        <w:t xml:space="preserve"> as delegated by the Board. </w:t>
      </w:r>
    </w:p>
    <w:p w:rsidR="00952B80" w:rsidRDefault="00952B80" w:rsidP="00952B80">
      <w:pPr>
        <w:pStyle w:val="AHPRABulletlevel1"/>
        <w:numPr>
          <w:ilvl w:val="0"/>
          <w:numId w:val="0"/>
        </w:numPr>
        <w:ind w:left="720"/>
      </w:pPr>
    </w:p>
    <w:p w:rsidR="00A276D5" w:rsidRDefault="00A276D5" w:rsidP="00917055">
      <w:pPr>
        <w:pStyle w:val="AHPRAbody"/>
        <w:rPr>
          <w:b/>
        </w:rPr>
      </w:pPr>
      <w:r w:rsidRPr="00A276D5">
        <w:rPr>
          <w:b/>
        </w:rPr>
        <w:t>Slide 10</w:t>
      </w:r>
    </w:p>
    <w:p w:rsidR="00A276D5" w:rsidRPr="00D72A5F" w:rsidRDefault="00A276D5" w:rsidP="00A276D5">
      <w:pPr>
        <w:rPr>
          <w:sz w:val="20"/>
        </w:rPr>
      </w:pPr>
      <w:r w:rsidRPr="00D72A5F">
        <w:rPr>
          <w:sz w:val="20"/>
        </w:rPr>
        <w:t xml:space="preserve">It’s interesting to again note the overlap between the aspects of professionalism identified by the Wilkinson systematic review, and the </w:t>
      </w:r>
      <w:r w:rsidR="00952B80" w:rsidRPr="00952B80">
        <w:rPr>
          <w:i/>
          <w:sz w:val="20"/>
        </w:rPr>
        <w:t xml:space="preserve">Code of </w:t>
      </w:r>
      <w:r w:rsidR="00907072">
        <w:rPr>
          <w:i/>
          <w:sz w:val="20"/>
        </w:rPr>
        <w:t>c</w:t>
      </w:r>
      <w:r w:rsidR="00952B80" w:rsidRPr="00952B80">
        <w:rPr>
          <w:i/>
          <w:sz w:val="20"/>
        </w:rPr>
        <w:t>onduct for chiropractors</w:t>
      </w:r>
      <w:r w:rsidRPr="00D72A5F">
        <w:rPr>
          <w:sz w:val="20"/>
        </w:rPr>
        <w:t xml:space="preserve"> as published on the Board’s website.</w:t>
      </w:r>
    </w:p>
    <w:p w:rsidR="00A276D5" w:rsidRPr="00D72A5F" w:rsidRDefault="00A276D5" w:rsidP="00A276D5">
      <w:pPr>
        <w:rPr>
          <w:sz w:val="20"/>
        </w:rPr>
      </w:pPr>
      <w:r w:rsidRPr="00D72A5F">
        <w:rPr>
          <w:sz w:val="20"/>
        </w:rPr>
        <w:lastRenderedPageBreak/>
        <w:t>This code outlines the National Board’s expectations in relation to the professional and ethical conduct of registered chir</w:t>
      </w:r>
      <w:r>
        <w:rPr>
          <w:sz w:val="20"/>
        </w:rPr>
        <w:t>opractors</w:t>
      </w:r>
      <w:r w:rsidR="00907072">
        <w:rPr>
          <w:sz w:val="20"/>
        </w:rPr>
        <w:t xml:space="preserve"> </w:t>
      </w:r>
      <w:r>
        <w:rPr>
          <w:sz w:val="20"/>
        </w:rPr>
        <w:t>and as you can see f</w:t>
      </w:r>
      <w:r w:rsidRPr="00D72A5F">
        <w:rPr>
          <w:sz w:val="20"/>
        </w:rPr>
        <w:t>r</w:t>
      </w:r>
      <w:r>
        <w:rPr>
          <w:sz w:val="20"/>
        </w:rPr>
        <w:t>o</w:t>
      </w:r>
      <w:r w:rsidRPr="00D72A5F">
        <w:rPr>
          <w:sz w:val="20"/>
        </w:rPr>
        <w:t xml:space="preserve">m this </w:t>
      </w:r>
      <w:r w:rsidR="00952B80" w:rsidRPr="00952B80">
        <w:rPr>
          <w:i/>
          <w:sz w:val="20"/>
        </w:rPr>
        <w:t>Wordle</w:t>
      </w:r>
      <w:r w:rsidR="00907072">
        <w:rPr>
          <w:sz w:val="20"/>
        </w:rPr>
        <w:t xml:space="preserve">, </w:t>
      </w:r>
      <w:r w:rsidRPr="00D72A5F">
        <w:rPr>
          <w:sz w:val="20"/>
        </w:rPr>
        <w:t xml:space="preserve">which </w:t>
      </w:r>
      <w:r>
        <w:rPr>
          <w:sz w:val="20"/>
        </w:rPr>
        <w:t>represents the relative frequency</w:t>
      </w:r>
      <w:r w:rsidRPr="00D72A5F">
        <w:rPr>
          <w:sz w:val="20"/>
        </w:rPr>
        <w:t xml:space="preserve"> of</w:t>
      </w:r>
      <w:r>
        <w:rPr>
          <w:sz w:val="20"/>
        </w:rPr>
        <w:t xml:space="preserve"> words used by the size of font</w:t>
      </w:r>
      <w:r w:rsidR="00907072">
        <w:rPr>
          <w:sz w:val="20"/>
        </w:rPr>
        <w:t>,</w:t>
      </w:r>
      <w:r w:rsidRPr="00D72A5F">
        <w:rPr>
          <w:sz w:val="20"/>
        </w:rPr>
        <w:t xml:space="preserve"> there is a strong focus on many of the same aspects such as</w:t>
      </w:r>
      <w:r>
        <w:rPr>
          <w:sz w:val="20"/>
        </w:rPr>
        <w:t>:</w:t>
      </w:r>
    </w:p>
    <w:p w:rsidR="00A276D5" w:rsidRPr="00D72A5F" w:rsidRDefault="00A276D5" w:rsidP="00073FCC">
      <w:pPr>
        <w:pStyle w:val="AHPRABulletlevel1"/>
      </w:pPr>
      <w:r>
        <w:t>ethical p</w:t>
      </w:r>
      <w:r w:rsidRPr="00D72A5F">
        <w:t>rinciples</w:t>
      </w:r>
    </w:p>
    <w:p w:rsidR="00A276D5" w:rsidRPr="00D72A5F" w:rsidRDefault="00A276D5" w:rsidP="00073FCC">
      <w:pPr>
        <w:pStyle w:val="AHPRABulletlevel1"/>
      </w:pPr>
      <w:r>
        <w:t>effective interactions with p</w:t>
      </w:r>
      <w:r w:rsidRPr="00D72A5F">
        <w:t>atients and with others in the health system</w:t>
      </w:r>
    </w:p>
    <w:p w:rsidR="00A276D5" w:rsidRPr="00D72A5F" w:rsidRDefault="00A276D5" w:rsidP="00073FCC">
      <w:pPr>
        <w:pStyle w:val="AHPRABulletlevel1"/>
      </w:pPr>
      <w:r>
        <w:t>r</w:t>
      </w:r>
      <w:r w:rsidRPr="00D72A5F">
        <w:t>eliability, and</w:t>
      </w:r>
    </w:p>
    <w:p w:rsidR="00907072" w:rsidRPr="00C1001A" w:rsidRDefault="00907072" w:rsidP="00073FCC">
      <w:pPr>
        <w:pStyle w:val="AHPRABulletlevel1"/>
      </w:pPr>
      <w:r>
        <w:t>c</w:t>
      </w:r>
      <w:r w:rsidRPr="00D72A5F">
        <w:t>ommit</w:t>
      </w:r>
      <w:r>
        <w:t>m</w:t>
      </w:r>
      <w:r w:rsidRPr="00D72A5F">
        <w:t>ent</w:t>
      </w:r>
      <w:r w:rsidR="00A276D5" w:rsidRPr="00D72A5F">
        <w:t xml:space="preserve"> to self-improvement</w:t>
      </w:r>
      <w:r w:rsidR="002F6984">
        <w:t>.</w:t>
      </w:r>
    </w:p>
    <w:p w:rsidR="00952B80" w:rsidRPr="00952B80" w:rsidRDefault="00952B80" w:rsidP="00952B80">
      <w:pPr>
        <w:pStyle w:val="AHPRABulletlevel1"/>
        <w:numPr>
          <w:ilvl w:val="0"/>
          <w:numId w:val="0"/>
        </w:numPr>
        <w:ind w:left="720"/>
        <w:rPr>
          <w:b/>
        </w:rPr>
      </w:pPr>
    </w:p>
    <w:p w:rsidR="00A276D5" w:rsidRDefault="00A276D5" w:rsidP="00917055">
      <w:pPr>
        <w:pStyle w:val="AHPRAbody"/>
        <w:rPr>
          <w:b/>
        </w:rPr>
      </w:pPr>
      <w:r>
        <w:rPr>
          <w:b/>
        </w:rPr>
        <w:t>Slide 11</w:t>
      </w:r>
    </w:p>
    <w:p w:rsidR="00907072" w:rsidRDefault="00A276D5" w:rsidP="00A276D5">
      <w:pPr>
        <w:rPr>
          <w:sz w:val="20"/>
        </w:rPr>
      </w:pPr>
      <w:r w:rsidRPr="00D72A5F">
        <w:rPr>
          <w:sz w:val="20"/>
        </w:rPr>
        <w:t xml:space="preserve">In terms of </w:t>
      </w:r>
      <w:r w:rsidR="00907072">
        <w:rPr>
          <w:sz w:val="20"/>
        </w:rPr>
        <w:t>p</w:t>
      </w:r>
      <w:r w:rsidRPr="00D72A5F">
        <w:rPr>
          <w:sz w:val="20"/>
        </w:rPr>
        <w:t xml:space="preserve">rofessionalism </w:t>
      </w:r>
      <w:r w:rsidR="00907072">
        <w:rPr>
          <w:sz w:val="20"/>
        </w:rPr>
        <w:t>a</w:t>
      </w:r>
      <w:r w:rsidRPr="00D72A5F">
        <w:rPr>
          <w:sz w:val="20"/>
        </w:rPr>
        <w:t>ssessment the Board is involved in this th</w:t>
      </w:r>
      <w:r>
        <w:rPr>
          <w:sz w:val="20"/>
        </w:rPr>
        <w:t>rough</w:t>
      </w:r>
      <w:r w:rsidR="00907072">
        <w:rPr>
          <w:sz w:val="20"/>
        </w:rPr>
        <w:t xml:space="preserve"> a number of areas.</w:t>
      </w:r>
    </w:p>
    <w:p w:rsidR="00907072" w:rsidRDefault="00907072" w:rsidP="00A276D5">
      <w:pPr>
        <w:rPr>
          <w:sz w:val="20"/>
        </w:rPr>
      </w:pPr>
      <w:r>
        <w:rPr>
          <w:sz w:val="20"/>
        </w:rPr>
        <w:t>Through</w:t>
      </w:r>
      <w:r w:rsidR="00A276D5">
        <w:rPr>
          <w:sz w:val="20"/>
        </w:rPr>
        <w:t xml:space="preserve"> </w:t>
      </w:r>
      <w:r>
        <w:rPr>
          <w:sz w:val="20"/>
        </w:rPr>
        <w:t>n</w:t>
      </w:r>
      <w:r w:rsidR="00A276D5">
        <w:rPr>
          <w:sz w:val="20"/>
        </w:rPr>
        <w:t>otifications w</w:t>
      </w:r>
      <w:r w:rsidR="00A276D5" w:rsidRPr="00D72A5F">
        <w:rPr>
          <w:sz w:val="20"/>
        </w:rPr>
        <w:t xml:space="preserve">hich often involve professionalism issues such as; </w:t>
      </w:r>
    </w:p>
    <w:p w:rsidR="00952B80" w:rsidRDefault="00A276D5" w:rsidP="00952B80">
      <w:pPr>
        <w:pStyle w:val="AHPRABulletlevel1"/>
      </w:pPr>
      <w:r w:rsidRPr="00D72A5F">
        <w:t>poor communication</w:t>
      </w:r>
    </w:p>
    <w:p w:rsidR="00952B80" w:rsidRDefault="00A276D5" w:rsidP="00952B80">
      <w:pPr>
        <w:pStyle w:val="AHPRABulletlevel1"/>
      </w:pPr>
      <w:r w:rsidRPr="00D72A5F">
        <w:t>confidentiality</w:t>
      </w:r>
    </w:p>
    <w:p w:rsidR="00952B80" w:rsidRDefault="00A276D5" w:rsidP="00952B80">
      <w:pPr>
        <w:pStyle w:val="AHPRABulletlevel1"/>
      </w:pPr>
      <w:r w:rsidRPr="00D72A5F">
        <w:t>objectification of patients</w:t>
      </w:r>
    </w:p>
    <w:p w:rsidR="00952B80" w:rsidRDefault="00A276D5" w:rsidP="00952B80">
      <w:pPr>
        <w:pStyle w:val="AHPRABulletlevel1"/>
      </w:pPr>
      <w:r w:rsidRPr="00D72A5F">
        <w:t>boundary violations</w:t>
      </w:r>
      <w:r w:rsidR="00907072">
        <w:t xml:space="preserve">, </w:t>
      </w:r>
      <w:r w:rsidRPr="00D72A5F">
        <w:t xml:space="preserve">and </w:t>
      </w:r>
    </w:p>
    <w:p w:rsidR="00952B80" w:rsidRDefault="00A276D5" w:rsidP="00952B80">
      <w:pPr>
        <w:pStyle w:val="AHPRABulletlevel1"/>
      </w:pPr>
      <w:r w:rsidRPr="00D72A5F">
        <w:t>consent issues</w:t>
      </w:r>
      <w:r>
        <w:t xml:space="preserve">. </w:t>
      </w:r>
    </w:p>
    <w:p w:rsidR="00952B80" w:rsidRDefault="00952B80" w:rsidP="00952B80">
      <w:pPr>
        <w:pStyle w:val="AHPRABulletlevel1"/>
        <w:numPr>
          <w:ilvl w:val="0"/>
          <w:numId w:val="0"/>
        </w:numPr>
        <w:ind w:left="720"/>
      </w:pPr>
    </w:p>
    <w:p w:rsidR="00952B80" w:rsidRDefault="00A276D5" w:rsidP="00952B80">
      <w:pPr>
        <w:pStyle w:val="AHPRAbody"/>
      </w:pPr>
      <w:r w:rsidRPr="00D72A5F">
        <w:t xml:space="preserve">There is often an aspect of professionalism </w:t>
      </w:r>
      <w:r w:rsidR="00907072" w:rsidRPr="00D72A5F">
        <w:t xml:space="preserve">assessment </w:t>
      </w:r>
      <w:r w:rsidRPr="00D72A5F">
        <w:t>involved in Board initiated</w:t>
      </w:r>
      <w:r w:rsidR="00907072">
        <w:t xml:space="preserve"> i</w:t>
      </w:r>
      <w:r w:rsidRPr="00D72A5F">
        <w:t>nve</w:t>
      </w:r>
      <w:r>
        <w:t xml:space="preserve">stigations, </w:t>
      </w:r>
      <w:r w:rsidR="00907072">
        <w:t>p</w:t>
      </w:r>
      <w:r>
        <w:t xml:space="preserve">anels or </w:t>
      </w:r>
      <w:r w:rsidR="00907072">
        <w:t>t</w:t>
      </w:r>
      <w:r>
        <w:t xml:space="preserve">ribunals. </w:t>
      </w:r>
    </w:p>
    <w:p w:rsidR="00952B80" w:rsidRDefault="00907072" w:rsidP="00952B80">
      <w:pPr>
        <w:pStyle w:val="AHPRAbody"/>
      </w:pPr>
      <w:r>
        <w:t>And i</w:t>
      </w:r>
      <w:r w:rsidR="00A276D5" w:rsidRPr="00D72A5F">
        <w:t>f conditions have been placed on a practitioner’s registration, then monitoring of those conditions will often involve a f</w:t>
      </w:r>
      <w:r w:rsidR="00A276D5">
        <w:t xml:space="preserve">ocus on professionalism issues. </w:t>
      </w:r>
    </w:p>
    <w:p w:rsidR="00952B80" w:rsidRDefault="00907072" w:rsidP="00952B80">
      <w:pPr>
        <w:pStyle w:val="AHPRAbody"/>
      </w:pPr>
      <w:r>
        <w:t>And – t</w:t>
      </w:r>
      <w:r w:rsidR="00A276D5" w:rsidRPr="00D72A5F">
        <w:t>hrough audit where a proportion of registrants are checked for their compliance with requirements for renewal of registration</w:t>
      </w:r>
      <w:r>
        <w:t xml:space="preserve">, including </w:t>
      </w:r>
      <w:r w:rsidR="00A276D5" w:rsidRPr="00D72A5F">
        <w:t xml:space="preserve">declaration of criminal history, maintenance of professional indemnity insurance, appropriate </w:t>
      </w:r>
      <w:r>
        <w:t>continuing professional development</w:t>
      </w:r>
      <w:r w:rsidR="00A276D5" w:rsidRPr="00D72A5F">
        <w:t>, first aid certification and appropriate levels of recency of practice</w:t>
      </w:r>
      <w:r>
        <w:t xml:space="preserve"> –</w:t>
      </w:r>
      <w:r w:rsidR="00A276D5" w:rsidRPr="00D72A5F">
        <w:t xml:space="preserve"> and during this process false declarations may </w:t>
      </w:r>
      <w:r>
        <w:t xml:space="preserve">also </w:t>
      </w:r>
      <w:r w:rsidR="00A276D5" w:rsidRPr="00D72A5F">
        <w:t>be identified</w:t>
      </w:r>
      <w:r w:rsidR="00A276D5">
        <w:t>.</w:t>
      </w:r>
    </w:p>
    <w:p w:rsidR="00A276D5" w:rsidRDefault="00A276D5" w:rsidP="00917055">
      <w:pPr>
        <w:pStyle w:val="AHPRAbody"/>
        <w:rPr>
          <w:b/>
        </w:rPr>
      </w:pPr>
      <w:r>
        <w:rPr>
          <w:b/>
        </w:rPr>
        <w:t>Slide 12</w:t>
      </w:r>
    </w:p>
    <w:p w:rsidR="00907072" w:rsidRDefault="00A276D5" w:rsidP="00A276D5">
      <w:pPr>
        <w:pStyle w:val="AHPRAbody"/>
      </w:pPr>
      <w:r w:rsidRPr="00D72A5F">
        <w:t>When the Board becomes aware of instances of unprofessional behaviour or professional misconduct there are a range of options availab</w:t>
      </w:r>
      <w:r>
        <w:t xml:space="preserve">le to work towards remediation. </w:t>
      </w:r>
    </w:p>
    <w:p w:rsidR="00907072" w:rsidRDefault="00A276D5" w:rsidP="00A276D5">
      <w:pPr>
        <w:pStyle w:val="AHPRAbody"/>
      </w:pPr>
      <w:r w:rsidRPr="00D72A5F">
        <w:t>These options range from the very mild</w:t>
      </w:r>
      <w:r w:rsidR="00907072">
        <w:t xml:space="preserve">, </w:t>
      </w:r>
      <w:r w:rsidRPr="00D72A5F">
        <w:t>such as a caution</w:t>
      </w:r>
      <w:r w:rsidR="00907072">
        <w:t xml:space="preserve">, </w:t>
      </w:r>
      <w:r w:rsidRPr="00D72A5F">
        <w:t xml:space="preserve"> to the very severe</w:t>
      </w:r>
      <w:r w:rsidR="00907072">
        <w:t xml:space="preserve">, </w:t>
      </w:r>
      <w:r w:rsidRPr="00D72A5F">
        <w:t>such as suspe</w:t>
      </w:r>
      <w:r>
        <w:t xml:space="preserve">nding or revoking registration. </w:t>
      </w:r>
    </w:p>
    <w:p w:rsidR="00A276D5" w:rsidRPr="00D72A5F" w:rsidRDefault="00A276D5" w:rsidP="00A276D5">
      <w:pPr>
        <w:pStyle w:val="AHPRAbody"/>
      </w:pPr>
      <w:r w:rsidRPr="00D72A5F">
        <w:t xml:space="preserve">In between these two is the more frequent educative approach taken by the Board with may include further education through distance education modules, seminars, workshops, one to one education </w:t>
      </w:r>
      <w:r w:rsidR="00907072">
        <w:t>o</w:t>
      </w:r>
      <w:r w:rsidRPr="00D72A5F">
        <w:t>r mentoring.</w:t>
      </w:r>
    </w:p>
    <w:p w:rsidR="00A276D5" w:rsidRPr="00D72A5F" w:rsidRDefault="00A276D5" w:rsidP="00A276D5">
      <w:pPr>
        <w:pStyle w:val="AHPRAbody"/>
      </w:pPr>
      <w:r w:rsidRPr="00D72A5F">
        <w:t xml:space="preserve">The focus for this educative approach is often on topics such as record keeping, ethics of practice, working with other health professionals, risk management, advertising, informed consent, adequate assessment and </w:t>
      </w:r>
      <w:r w:rsidR="00907072">
        <w:t xml:space="preserve">appropriate </w:t>
      </w:r>
      <w:r w:rsidRPr="00D72A5F">
        <w:t>differential diagnosis</w:t>
      </w:r>
      <w:r w:rsidR="00907072">
        <w:t>.</w:t>
      </w:r>
    </w:p>
    <w:p w:rsidR="00A276D5" w:rsidRPr="00D72A5F" w:rsidRDefault="00A276D5" w:rsidP="00A276D5">
      <w:pPr>
        <w:pStyle w:val="AHPRAbody"/>
      </w:pPr>
      <w:r w:rsidRPr="00D72A5F">
        <w:t xml:space="preserve">The </w:t>
      </w:r>
      <w:r w:rsidR="00907072">
        <w:t>B</w:t>
      </w:r>
      <w:r w:rsidRPr="00D72A5F">
        <w:t>oard may also require a subsequent audit following this further education in order to determine if the approach has been effective.</w:t>
      </w:r>
    </w:p>
    <w:p w:rsidR="00A276D5" w:rsidRPr="00A276D5" w:rsidRDefault="00A276D5" w:rsidP="00917055">
      <w:pPr>
        <w:pStyle w:val="AHPRAbody"/>
        <w:rPr>
          <w:b/>
        </w:rPr>
      </w:pPr>
      <w:r w:rsidRPr="00A276D5">
        <w:rPr>
          <w:b/>
        </w:rPr>
        <w:t>Slide 13</w:t>
      </w:r>
    </w:p>
    <w:p w:rsidR="00A276D5" w:rsidRPr="00D72A5F" w:rsidRDefault="00A276D5" w:rsidP="00A276D5">
      <w:pPr>
        <w:pStyle w:val="AHPRAbody"/>
      </w:pPr>
      <w:r w:rsidRPr="00D72A5F">
        <w:t xml:space="preserve">So now on to the </w:t>
      </w:r>
      <w:r w:rsidR="00907072">
        <w:t>p</w:t>
      </w:r>
      <w:r w:rsidRPr="00D72A5F">
        <w:t xml:space="preserve">rofessionalism </w:t>
      </w:r>
      <w:r w:rsidR="00907072">
        <w:t>l</w:t>
      </w:r>
      <w:r w:rsidRPr="00D72A5F">
        <w:t>iterature*</w:t>
      </w:r>
      <w:r w:rsidR="00B37D48">
        <w:t>.</w:t>
      </w:r>
      <w:r w:rsidR="00907072">
        <w:t xml:space="preserve"> </w:t>
      </w:r>
      <w:r w:rsidRPr="00D72A5F">
        <w:t xml:space="preserve">Again, </w:t>
      </w:r>
      <w:r w:rsidR="00996EDB">
        <w:t>this is highlighted with</w:t>
      </w:r>
      <w:r w:rsidRPr="00D72A5F">
        <w:t xml:space="preserve"> an asterix to </w:t>
      </w:r>
      <w:r w:rsidR="00996EDB">
        <w:t>indicate</w:t>
      </w:r>
      <w:r w:rsidRPr="00D72A5F">
        <w:t xml:space="preserve"> that there is a real lack of literature around professionalism within the </w:t>
      </w:r>
      <w:r w:rsidR="00996EDB">
        <w:t>c</w:t>
      </w:r>
      <w:r w:rsidRPr="00D72A5F">
        <w:t>hiropractic profession, but</w:t>
      </w:r>
      <w:r w:rsidR="00996EDB">
        <w:t xml:space="preserve">, </w:t>
      </w:r>
      <w:r w:rsidRPr="00D72A5F">
        <w:t>if we look at the literature across other health professions a number of consistent themes emerge.</w:t>
      </w:r>
    </w:p>
    <w:p w:rsidR="00996EDB" w:rsidRDefault="00A276D5" w:rsidP="00A276D5">
      <w:pPr>
        <w:pStyle w:val="AHPRAbody"/>
      </w:pPr>
      <w:r w:rsidRPr="00D72A5F">
        <w:t xml:space="preserve">The existing data around </w:t>
      </w:r>
      <w:r w:rsidR="00996EDB">
        <w:t>a</w:t>
      </w:r>
      <w:r w:rsidRPr="00D72A5F">
        <w:t>ssessment of professionalism sugg</w:t>
      </w:r>
      <w:r>
        <w:t>ests that it’s important to use</w:t>
      </w:r>
      <w:r w:rsidRPr="00D72A5F">
        <w:t xml:space="preserve"> multiple tools</w:t>
      </w:r>
      <w:r w:rsidR="00996EDB">
        <w:t xml:space="preserve">, and given all the themes and dimensions involved </w:t>
      </w:r>
      <w:r w:rsidRPr="00D72A5F">
        <w:t>in</w:t>
      </w:r>
      <w:r>
        <w:t xml:space="preserve"> profession</w:t>
      </w:r>
      <w:r w:rsidRPr="00D72A5F">
        <w:t>alism</w:t>
      </w:r>
      <w:r w:rsidR="00996EDB">
        <w:t xml:space="preserve"> I guess that makes perfect sense. </w:t>
      </w:r>
    </w:p>
    <w:p w:rsidR="00A276D5" w:rsidRPr="00D72A5F" w:rsidRDefault="00996EDB" w:rsidP="00A276D5">
      <w:pPr>
        <w:pStyle w:val="AHPRAbody"/>
      </w:pPr>
      <w:r>
        <w:t xml:space="preserve">The other thing that seems to come up consistently is </w:t>
      </w:r>
      <w:r w:rsidR="00A276D5" w:rsidRPr="00D72A5F">
        <w:t>that patients are a helpful source of data on the professionalism of health practitioners</w:t>
      </w:r>
      <w:r>
        <w:t xml:space="preserve"> and again that is not surprising given they are at the coal face.</w:t>
      </w:r>
    </w:p>
    <w:p w:rsidR="00A276D5" w:rsidRPr="00D72A5F" w:rsidRDefault="00B37D48" w:rsidP="00A276D5">
      <w:pPr>
        <w:pStyle w:val="AHPRAbody"/>
      </w:pPr>
      <w:r>
        <w:lastRenderedPageBreak/>
        <w:t xml:space="preserve">And </w:t>
      </w:r>
      <w:r w:rsidR="00996EDB">
        <w:t xml:space="preserve">in </w:t>
      </w:r>
      <w:r>
        <w:t>the existing data round r</w:t>
      </w:r>
      <w:r w:rsidR="00A276D5" w:rsidRPr="00D72A5F">
        <w:t xml:space="preserve">emediation of professionalism issues </w:t>
      </w:r>
      <w:r w:rsidR="00996EDB">
        <w:t xml:space="preserve">there’s a </w:t>
      </w:r>
      <w:r w:rsidR="00A276D5" w:rsidRPr="00D72A5F">
        <w:t>suggest</w:t>
      </w:r>
      <w:r w:rsidR="00996EDB">
        <w:t>ion</w:t>
      </w:r>
      <w:r w:rsidR="00A276D5" w:rsidRPr="00D72A5F">
        <w:t xml:space="preserve"> that it’s important to develop individualised programs for these practitioners, to use role models in</w:t>
      </w:r>
      <w:r w:rsidR="00996EDB">
        <w:t xml:space="preserve"> the</w:t>
      </w:r>
      <w:r w:rsidR="00A276D5" w:rsidRPr="00D72A5F">
        <w:t xml:space="preserve"> remediation programs and to design programs which have a flexible pace of delivery.</w:t>
      </w:r>
    </w:p>
    <w:p w:rsidR="00A276D5" w:rsidRPr="00A276D5" w:rsidRDefault="00A276D5" w:rsidP="00917055">
      <w:pPr>
        <w:pStyle w:val="AHPRAbody"/>
        <w:rPr>
          <w:b/>
        </w:rPr>
      </w:pPr>
      <w:r w:rsidRPr="00A276D5">
        <w:rPr>
          <w:b/>
        </w:rPr>
        <w:t>Slide 14</w:t>
      </w:r>
    </w:p>
    <w:p w:rsidR="00073FCC" w:rsidRPr="00D72A5F" w:rsidRDefault="00073FCC" w:rsidP="00073FCC">
      <w:pPr>
        <w:rPr>
          <w:sz w:val="20"/>
        </w:rPr>
      </w:pPr>
      <w:r w:rsidRPr="00D72A5F">
        <w:rPr>
          <w:sz w:val="20"/>
        </w:rPr>
        <w:t>Looking at assessment of professionalism in more detail</w:t>
      </w:r>
      <w:r>
        <w:rPr>
          <w:sz w:val="20"/>
        </w:rPr>
        <w:t xml:space="preserve">, </w:t>
      </w:r>
      <w:r w:rsidRPr="00D72A5F">
        <w:rPr>
          <w:sz w:val="20"/>
        </w:rPr>
        <w:t>Wilkinson’s systematic review identified a number of tools for assessment of professionalism many of which you would be familiar with and many of which are used primarily in the assessment of students in the health professions.</w:t>
      </w:r>
    </w:p>
    <w:p w:rsidR="00073FCC" w:rsidRPr="00D72A5F" w:rsidRDefault="00996EDB" w:rsidP="00073FCC">
      <w:pPr>
        <w:rPr>
          <w:sz w:val="20"/>
        </w:rPr>
      </w:pPr>
      <w:r>
        <w:rPr>
          <w:sz w:val="20"/>
        </w:rPr>
        <w:t>So these various assessment tools</w:t>
      </w:r>
      <w:r w:rsidR="00073FCC" w:rsidRPr="00D72A5F">
        <w:rPr>
          <w:sz w:val="20"/>
        </w:rPr>
        <w:t xml:space="preserve"> include:</w:t>
      </w:r>
    </w:p>
    <w:p w:rsidR="00073FCC" w:rsidRPr="00D72A5F" w:rsidRDefault="00073FCC" w:rsidP="00073FCC">
      <w:pPr>
        <w:pStyle w:val="AHPRABulletlevel1"/>
      </w:pPr>
      <w:r>
        <w:t>m</w:t>
      </w:r>
      <w:r w:rsidRPr="00D72A5F">
        <w:t xml:space="preserve">ethods involving an observed clinical encounter such as the </w:t>
      </w:r>
      <w:r w:rsidR="00996EDB" w:rsidRPr="00D72A5F">
        <w:t>mini-Clinical Evaluation Exercise</w:t>
      </w:r>
      <w:r w:rsidR="00996EDB">
        <w:t xml:space="preserve"> or m</w:t>
      </w:r>
      <w:r w:rsidRPr="00D72A5F">
        <w:t xml:space="preserve">ini-CEX </w:t>
      </w:r>
    </w:p>
    <w:p w:rsidR="00073FCC" w:rsidRPr="00D72A5F" w:rsidRDefault="00996EDB" w:rsidP="00073FCC">
      <w:pPr>
        <w:pStyle w:val="AHPRABulletlevel1"/>
      </w:pPr>
      <w:r>
        <w:t xml:space="preserve">they include </w:t>
      </w:r>
      <w:r w:rsidR="00073FCC">
        <w:t>s</w:t>
      </w:r>
      <w:r w:rsidR="00073FCC" w:rsidRPr="00D72A5F">
        <w:t xml:space="preserve">imulations such as objective structured clinical examinations </w:t>
      </w:r>
      <w:r>
        <w:t xml:space="preserve"> or </w:t>
      </w:r>
      <w:r w:rsidR="00073FCC" w:rsidRPr="00D72A5F">
        <w:t>OSCEs and high fidelity patient simulations</w:t>
      </w:r>
    </w:p>
    <w:p w:rsidR="00073FCC" w:rsidRPr="00D72A5F" w:rsidRDefault="00996EDB" w:rsidP="00073FCC">
      <w:pPr>
        <w:pStyle w:val="AHPRABulletlevel1"/>
      </w:pPr>
      <w:r>
        <w:t xml:space="preserve">they include </w:t>
      </w:r>
      <w:r w:rsidR="00073FCC">
        <w:t>p</w:t>
      </w:r>
      <w:r w:rsidR="00073FCC" w:rsidRPr="00D72A5F">
        <w:t xml:space="preserve">aper-based tests </w:t>
      </w:r>
      <w:r>
        <w:t xml:space="preserve">which are </w:t>
      </w:r>
      <w:r w:rsidR="00073FCC" w:rsidRPr="00D72A5F">
        <w:t>focused on professionalism issues</w:t>
      </w:r>
      <w:r>
        <w:t xml:space="preserve">, so things such as </w:t>
      </w:r>
      <w:r w:rsidR="00073FCC">
        <w:t>multiple choice questions</w:t>
      </w:r>
      <w:r w:rsidR="00073FCC" w:rsidRPr="00D72A5F">
        <w:t xml:space="preserve"> or defining issues formats</w:t>
      </w:r>
      <w:r>
        <w:t xml:space="preserve"> specifically designed to focus on professionalism issues</w:t>
      </w:r>
    </w:p>
    <w:p w:rsidR="00073FCC" w:rsidRPr="00D72A5F" w:rsidRDefault="00996EDB" w:rsidP="00073FCC">
      <w:pPr>
        <w:pStyle w:val="AHPRABulletlevel1"/>
      </w:pPr>
      <w:r>
        <w:t xml:space="preserve">the </w:t>
      </w:r>
      <w:r w:rsidR="00073FCC">
        <w:t>g</w:t>
      </w:r>
      <w:r w:rsidR="00073FCC" w:rsidRPr="00D72A5F">
        <w:t xml:space="preserve">lobal view of supervisors </w:t>
      </w:r>
      <w:r>
        <w:t xml:space="preserve">can be obtained </w:t>
      </w:r>
      <w:r w:rsidR="00073FCC" w:rsidRPr="00D72A5F">
        <w:t>using some of the professional assessment instruments</w:t>
      </w:r>
      <w:r w:rsidR="00073FCC">
        <w:t>, and</w:t>
      </w:r>
    </w:p>
    <w:p w:rsidR="00996EDB" w:rsidRDefault="00073FCC" w:rsidP="00917055">
      <w:pPr>
        <w:pStyle w:val="AHPRABulletlevel1"/>
      </w:pPr>
      <w:r w:rsidRPr="00D72A5F">
        <w:t xml:space="preserve">other specific assessment tools </w:t>
      </w:r>
      <w:r w:rsidR="00996EDB">
        <w:t>s</w:t>
      </w:r>
      <w:r w:rsidRPr="00D72A5F">
        <w:t>uch as those relating to cultural competence, interpersonal reactivity and other specific professionalism questionnaires</w:t>
      </w:r>
      <w:r w:rsidR="00996EDB">
        <w:t xml:space="preserve"> can be used</w:t>
      </w:r>
      <w:r w:rsidR="00B37D48">
        <w:t>.</w:t>
      </w:r>
    </w:p>
    <w:p w:rsidR="00952B80" w:rsidRPr="00952B80" w:rsidRDefault="00952B80" w:rsidP="00952B80">
      <w:pPr>
        <w:pStyle w:val="AHPRABulletlevel1"/>
        <w:numPr>
          <w:ilvl w:val="0"/>
          <w:numId w:val="0"/>
        </w:numPr>
        <w:ind w:left="720"/>
        <w:rPr>
          <w:b/>
        </w:rPr>
      </w:pPr>
    </w:p>
    <w:p w:rsidR="00073FCC" w:rsidRPr="00073FCC" w:rsidRDefault="00073FCC" w:rsidP="00917055">
      <w:pPr>
        <w:pStyle w:val="AHPRAbody"/>
        <w:rPr>
          <w:b/>
        </w:rPr>
      </w:pPr>
      <w:r w:rsidRPr="00073FCC">
        <w:rPr>
          <w:b/>
        </w:rPr>
        <w:t>Slide 15</w:t>
      </w:r>
    </w:p>
    <w:p w:rsidR="00073FCC" w:rsidRPr="00D72A5F" w:rsidRDefault="00073FCC" w:rsidP="00073FCC">
      <w:pPr>
        <w:rPr>
          <w:sz w:val="20"/>
        </w:rPr>
      </w:pPr>
      <w:r w:rsidRPr="00D72A5F">
        <w:rPr>
          <w:sz w:val="20"/>
        </w:rPr>
        <w:t>Wilkinson’s review also identified a number of tools which are arguably used more often in the as</w:t>
      </w:r>
      <w:r>
        <w:rPr>
          <w:sz w:val="20"/>
        </w:rPr>
        <w:t>sessment of professionalism of p</w:t>
      </w:r>
      <w:r w:rsidRPr="00D72A5F">
        <w:rPr>
          <w:sz w:val="20"/>
        </w:rPr>
        <w:t>ractitioners</w:t>
      </w:r>
      <w:r w:rsidR="00B37D48">
        <w:rPr>
          <w:sz w:val="20"/>
        </w:rPr>
        <w:t>.</w:t>
      </w:r>
      <w:r w:rsidRPr="00D72A5F">
        <w:rPr>
          <w:sz w:val="20"/>
        </w:rPr>
        <w:tab/>
      </w:r>
    </w:p>
    <w:p w:rsidR="00073FCC" w:rsidRPr="00D72A5F" w:rsidRDefault="00073FCC" w:rsidP="00073FCC">
      <w:pPr>
        <w:rPr>
          <w:sz w:val="20"/>
        </w:rPr>
      </w:pPr>
      <w:r w:rsidRPr="00D72A5F">
        <w:rPr>
          <w:sz w:val="20"/>
        </w:rPr>
        <w:t>These include:</w:t>
      </w:r>
    </w:p>
    <w:p w:rsidR="00073FCC" w:rsidRPr="00D72A5F" w:rsidRDefault="00073FCC" w:rsidP="00073FCC">
      <w:pPr>
        <w:pStyle w:val="AHPRABulletlevel1"/>
      </w:pPr>
      <w:r>
        <w:t>s</w:t>
      </w:r>
      <w:r w:rsidRPr="00D72A5F">
        <w:t>elf-administered rating scale</w:t>
      </w:r>
      <w:r w:rsidR="00996EDB">
        <w:t>s and</w:t>
      </w:r>
      <w:r w:rsidRPr="00D72A5F">
        <w:t xml:space="preserve"> there are tools focused on time management</w:t>
      </w:r>
      <w:r w:rsidR="00996EDB">
        <w:t xml:space="preserve"> </w:t>
      </w:r>
      <w:r w:rsidRPr="00D72A5F">
        <w:t>and others on reflection ability for example</w:t>
      </w:r>
    </w:p>
    <w:p w:rsidR="00073FCC" w:rsidRPr="00D72A5F" w:rsidRDefault="00073FCC" w:rsidP="00073FCC">
      <w:pPr>
        <w:pStyle w:val="AHPRABulletlevel1"/>
      </w:pPr>
      <w:r>
        <w:t>c</w:t>
      </w:r>
      <w:r w:rsidRPr="00D72A5F">
        <w:t>ollated views of co-workers can be used as a method of multisource feedback</w:t>
      </w:r>
    </w:p>
    <w:p w:rsidR="00073FCC" w:rsidRDefault="00073FCC" w:rsidP="00073FCC">
      <w:pPr>
        <w:pStyle w:val="AHPRABulletlevel1"/>
      </w:pPr>
      <w:r>
        <w:t>p</w:t>
      </w:r>
      <w:r w:rsidRPr="00D72A5F">
        <w:t xml:space="preserve">atient opinion can be gathered via </w:t>
      </w:r>
      <w:r>
        <w:t>questionnaires or rating scales, and</w:t>
      </w:r>
    </w:p>
    <w:p w:rsidR="00073FCC" w:rsidRPr="00C1001A" w:rsidRDefault="00073FCC" w:rsidP="00996EDB">
      <w:pPr>
        <w:pStyle w:val="AHPRABulletlevel1"/>
      </w:pPr>
      <w:r w:rsidRPr="00C1001A">
        <w:t xml:space="preserve">there are also measures such as records of incidents of unprofessionalism </w:t>
      </w:r>
      <w:r>
        <w:t>a</w:t>
      </w:r>
      <w:r w:rsidRPr="00C1001A">
        <w:t xml:space="preserve">nd </w:t>
      </w:r>
      <w:r w:rsidR="00996EDB">
        <w:t xml:space="preserve">of course things like </w:t>
      </w:r>
      <w:r>
        <w:t>c</w:t>
      </w:r>
      <w:r w:rsidRPr="00D72A5F">
        <w:t>ritical incident reports</w:t>
      </w:r>
      <w:r>
        <w:t>.</w:t>
      </w:r>
    </w:p>
    <w:p w:rsidR="00073FCC" w:rsidRDefault="00073FCC" w:rsidP="00917055">
      <w:pPr>
        <w:pStyle w:val="AHPRAbody"/>
      </w:pPr>
    </w:p>
    <w:p w:rsidR="00073FCC" w:rsidRPr="00073FCC" w:rsidRDefault="00073FCC" w:rsidP="00917055">
      <w:pPr>
        <w:pStyle w:val="AHPRAbody"/>
        <w:rPr>
          <w:b/>
        </w:rPr>
      </w:pPr>
      <w:r w:rsidRPr="00073FCC">
        <w:rPr>
          <w:b/>
        </w:rPr>
        <w:t>Slide 16</w:t>
      </w:r>
    </w:p>
    <w:p w:rsidR="00073FCC" w:rsidRPr="00D72A5F" w:rsidRDefault="00073FCC" w:rsidP="00073FCC">
      <w:pPr>
        <w:rPr>
          <w:sz w:val="20"/>
        </w:rPr>
      </w:pPr>
      <w:r w:rsidRPr="00D72A5F">
        <w:rPr>
          <w:sz w:val="20"/>
        </w:rPr>
        <w:t>What Wilkinson</w:t>
      </w:r>
      <w:r w:rsidR="00996EDB">
        <w:rPr>
          <w:sz w:val="20"/>
        </w:rPr>
        <w:t>’s review</w:t>
      </w:r>
      <w:r w:rsidRPr="00D72A5F">
        <w:rPr>
          <w:sz w:val="20"/>
        </w:rPr>
        <w:t xml:space="preserve"> helped to highlight is that there are many attributes which are still not well assessed and for which there is a clear need to develop assessment tools.</w:t>
      </w:r>
    </w:p>
    <w:p w:rsidR="00073FCC" w:rsidRDefault="00073FCC" w:rsidP="00073FCC">
      <w:pPr>
        <w:rPr>
          <w:sz w:val="20"/>
        </w:rPr>
      </w:pPr>
      <w:r w:rsidRPr="00D72A5F">
        <w:rPr>
          <w:sz w:val="20"/>
        </w:rPr>
        <w:t>Attributes like:</w:t>
      </w:r>
    </w:p>
    <w:p w:rsidR="00073FCC" w:rsidRPr="00D72A5F" w:rsidRDefault="00073FCC" w:rsidP="00073FCC">
      <w:pPr>
        <w:pStyle w:val="AHPRABulletlevel1"/>
      </w:pPr>
      <w:r>
        <w:t>r</w:t>
      </w:r>
      <w:r w:rsidRPr="00D72A5F">
        <w:t>eflectiveness and abilities in self-assessment</w:t>
      </w:r>
    </w:p>
    <w:p w:rsidR="00073FCC" w:rsidRPr="00D72A5F" w:rsidRDefault="00996EDB" w:rsidP="00073FCC">
      <w:pPr>
        <w:pStyle w:val="AHPRABulletlevel1"/>
      </w:pPr>
      <w:r>
        <w:t xml:space="preserve">tools which measure </w:t>
      </w:r>
      <w:r w:rsidR="00073FCC">
        <w:t>c</w:t>
      </w:r>
      <w:r w:rsidR="00073FCC" w:rsidRPr="00D72A5F">
        <w:t xml:space="preserve">ommitment to </w:t>
      </w:r>
      <w:r>
        <w:t>l</w:t>
      </w:r>
      <w:r w:rsidR="00073FCC" w:rsidRPr="00D72A5F">
        <w:t>ifelong learning</w:t>
      </w:r>
    </w:p>
    <w:p w:rsidR="00073FCC" w:rsidRPr="00D72A5F" w:rsidRDefault="00996EDB" w:rsidP="00073FCC">
      <w:pPr>
        <w:pStyle w:val="AHPRABulletlevel1"/>
      </w:pPr>
      <w:r>
        <w:t xml:space="preserve">or that measure the </w:t>
      </w:r>
      <w:r w:rsidR="00073FCC">
        <w:t>a</w:t>
      </w:r>
      <w:r w:rsidR="00073FCC" w:rsidRPr="00D72A5F">
        <w:t>bility to deal with  the uncertainty</w:t>
      </w:r>
      <w:r>
        <w:t xml:space="preserve"> which is </w:t>
      </w:r>
      <w:r w:rsidR="00073FCC" w:rsidRPr="00D72A5F">
        <w:t xml:space="preserve"> inherent in clinical practice</w:t>
      </w:r>
    </w:p>
    <w:p w:rsidR="00073FCC" w:rsidRPr="00D72A5F" w:rsidRDefault="00996EDB" w:rsidP="00073FCC">
      <w:pPr>
        <w:pStyle w:val="AHPRABulletlevel1"/>
      </w:pPr>
      <w:r>
        <w:t xml:space="preserve">tools which can assess for </w:t>
      </w:r>
      <w:r w:rsidR="00073FCC">
        <w:t>s</w:t>
      </w:r>
      <w:r w:rsidR="00073FCC" w:rsidRPr="00D72A5F">
        <w:t>kills in advocacy</w:t>
      </w:r>
    </w:p>
    <w:p w:rsidR="00073FCC" w:rsidRPr="00D72A5F" w:rsidRDefault="00996EDB" w:rsidP="00073FCC">
      <w:pPr>
        <w:pStyle w:val="AHPRABulletlevel1"/>
      </w:pPr>
      <w:r>
        <w:t>or the practitioners</w:t>
      </w:r>
      <w:r w:rsidR="00073FCC" w:rsidRPr="00D72A5F">
        <w:t xml:space="preserve"> ability to balance availability to others with </w:t>
      </w:r>
      <w:r>
        <w:t xml:space="preserve">their own </w:t>
      </w:r>
      <w:r w:rsidR="00073FCC" w:rsidRPr="00D72A5F">
        <w:t>self-care</w:t>
      </w:r>
    </w:p>
    <w:p w:rsidR="00073FCC" w:rsidRPr="00D72A5F" w:rsidRDefault="00996EDB" w:rsidP="00073FCC">
      <w:pPr>
        <w:pStyle w:val="AHPRABulletlevel1"/>
      </w:pPr>
      <w:r>
        <w:t xml:space="preserve">tools which can determine </w:t>
      </w:r>
      <w:r w:rsidR="00073FCC">
        <w:t>t</w:t>
      </w:r>
      <w:r w:rsidR="00073FCC" w:rsidRPr="00D72A5F">
        <w:t>he tendency to seek and respond to results of an audit</w:t>
      </w:r>
      <w:r w:rsidR="00073FCC">
        <w:t>, and</w:t>
      </w:r>
    </w:p>
    <w:p w:rsidR="00996EDB" w:rsidRPr="00D72A5F" w:rsidRDefault="00996EDB" w:rsidP="00073FCC">
      <w:pPr>
        <w:pStyle w:val="AHPRABulletlevel1"/>
      </w:pPr>
      <w:r>
        <w:t xml:space="preserve">tools which explore </w:t>
      </w:r>
      <w:r w:rsidR="00073FCC" w:rsidRPr="00D72A5F">
        <w:t>the commitment to advancing knowledge in the profession and in healthcare more generally</w:t>
      </w:r>
      <w:r>
        <w:t>.</w:t>
      </w:r>
    </w:p>
    <w:p w:rsidR="00952B80" w:rsidRDefault="00952B80" w:rsidP="00952B80">
      <w:pPr>
        <w:pStyle w:val="AHPRABulletlevel1"/>
        <w:numPr>
          <w:ilvl w:val="0"/>
          <w:numId w:val="0"/>
        </w:numPr>
        <w:ind w:left="720"/>
      </w:pPr>
    </w:p>
    <w:p w:rsidR="00073FCC" w:rsidRPr="00D72A5F" w:rsidRDefault="00996EDB" w:rsidP="00073FCC">
      <w:pPr>
        <w:rPr>
          <w:sz w:val="20"/>
        </w:rPr>
      </w:pPr>
      <w:r>
        <w:rPr>
          <w:sz w:val="20"/>
        </w:rPr>
        <w:t>So all t</w:t>
      </w:r>
      <w:r w:rsidR="00073FCC" w:rsidRPr="00D72A5F">
        <w:rPr>
          <w:sz w:val="20"/>
        </w:rPr>
        <w:t>hese are all not particularly well measured by existing tools…</w:t>
      </w:r>
      <w:r>
        <w:rPr>
          <w:sz w:val="20"/>
        </w:rPr>
        <w:t xml:space="preserve"> </w:t>
      </w:r>
      <w:r w:rsidR="00073FCC" w:rsidRPr="00D72A5F">
        <w:rPr>
          <w:sz w:val="20"/>
        </w:rPr>
        <w:t>so there is much work to be done in this space!</w:t>
      </w:r>
    </w:p>
    <w:p w:rsidR="00073FCC" w:rsidRPr="00073FCC" w:rsidRDefault="00073FCC" w:rsidP="00917055">
      <w:pPr>
        <w:pStyle w:val="AHPRAbody"/>
        <w:rPr>
          <w:b/>
        </w:rPr>
      </w:pPr>
      <w:r w:rsidRPr="00073FCC">
        <w:rPr>
          <w:b/>
        </w:rPr>
        <w:t>Slide 17</w:t>
      </w:r>
    </w:p>
    <w:p w:rsidR="00996EDB" w:rsidRDefault="00073FCC" w:rsidP="00073FCC">
      <w:pPr>
        <w:pStyle w:val="AHPRAbody"/>
      </w:pPr>
      <w:r w:rsidRPr="00D72A5F">
        <w:t>Looking at remediation of</w:t>
      </w:r>
      <w:r w:rsidR="00C60EAD">
        <w:t xml:space="preserve"> professionalism </w:t>
      </w:r>
      <w:r w:rsidR="00996EDB">
        <w:t>in a little more detail.</w:t>
      </w:r>
      <w:r w:rsidR="00C60EAD">
        <w:t xml:space="preserve"> I</w:t>
      </w:r>
      <w:r w:rsidRPr="00D72A5F">
        <w:t>n 2009</w:t>
      </w:r>
      <w:r>
        <w:t xml:space="preserve"> </w:t>
      </w:r>
      <w:r w:rsidRPr="00D72A5F">
        <w:t>a thematic review of literature around remediation in medical education but spanning undergraduate, graduate and continuing education levels</w:t>
      </w:r>
      <w:r w:rsidR="00996EDB">
        <w:t xml:space="preserve"> was published.</w:t>
      </w:r>
      <w:r w:rsidRPr="00D72A5F">
        <w:t xml:space="preserve"> </w:t>
      </w:r>
    </w:p>
    <w:p w:rsidR="00996EDB" w:rsidRDefault="00073FCC" w:rsidP="00073FCC">
      <w:pPr>
        <w:pStyle w:val="AHPRAbody"/>
      </w:pPr>
      <w:r w:rsidRPr="00D72A5F">
        <w:lastRenderedPageBreak/>
        <w:t>The</w:t>
      </w:r>
      <w:r w:rsidR="00996EDB">
        <w:t xml:space="preserve"> authors</w:t>
      </w:r>
      <w:r w:rsidRPr="00D72A5F">
        <w:t xml:space="preserve"> found only 13 studies which met their inclusion criteria and </w:t>
      </w:r>
      <w:r w:rsidR="00996EDB">
        <w:t xml:space="preserve">they </w:t>
      </w:r>
      <w:r w:rsidRPr="00D72A5F">
        <w:t xml:space="preserve">acknowledged that these studies were mostly small and single institution studies which described efforts to remediate deficient knowledge, or clinical skills of trainees or below standard practice performance of practicing physicians.  </w:t>
      </w:r>
    </w:p>
    <w:p w:rsidR="00073FCC" w:rsidRPr="00D72A5F" w:rsidRDefault="00073FCC" w:rsidP="00073FCC">
      <w:pPr>
        <w:pStyle w:val="AHPRAbody"/>
      </w:pPr>
      <w:r w:rsidRPr="00D72A5F">
        <w:t xml:space="preserve">They </w:t>
      </w:r>
      <w:r w:rsidR="00996EDB" w:rsidRPr="00D72A5F">
        <w:t>concluded</w:t>
      </w:r>
      <w:r w:rsidR="00996EDB">
        <w:t xml:space="preserve"> saying </w:t>
      </w:r>
      <w:r w:rsidRPr="00D72A5F">
        <w:t>that there is an urgent need for multi-</w:t>
      </w:r>
      <w:r w:rsidR="00996EDB" w:rsidRPr="00D72A5F">
        <w:t>institutional;</w:t>
      </w:r>
      <w:r w:rsidRPr="00D72A5F">
        <w:t xml:space="preserve"> outcomes</w:t>
      </w:r>
      <w:r w:rsidR="00996EDB">
        <w:t>-</w:t>
      </w:r>
      <w:r w:rsidRPr="00D72A5F">
        <w:t>based research on strategies for remediation w</w:t>
      </w:r>
      <w:r w:rsidR="00996EDB">
        <w:t>hich included</w:t>
      </w:r>
      <w:r w:rsidRPr="00D72A5F">
        <w:t xml:space="preserve"> long-term follow up.</w:t>
      </w:r>
    </w:p>
    <w:p w:rsidR="00073FCC" w:rsidRPr="00073FCC" w:rsidRDefault="00073FCC" w:rsidP="00917055">
      <w:pPr>
        <w:pStyle w:val="AHPRAbody"/>
        <w:rPr>
          <w:b/>
        </w:rPr>
      </w:pPr>
      <w:r w:rsidRPr="00073FCC">
        <w:rPr>
          <w:b/>
        </w:rPr>
        <w:t>Slide 18</w:t>
      </w:r>
    </w:p>
    <w:p w:rsidR="000D074E" w:rsidRDefault="00073FCC" w:rsidP="00073FCC">
      <w:pPr>
        <w:pStyle w:val="AHPRAbody"/>
      </w:pPr>
      <w:r w:rsidRPr="00D72A5F">
        <w:t xml:space="preserve">On the basis of their review of the literature on remediation and </w:t>
      </w:r>
      <w:r w:rsidR="00996EDB">
        <w:t xml:space="preserve">using </w:t>
      </w:r>
      <w:r w:rsidRPr="00D72A5F">
        <w:t>selected studies in the learning sciences, they proposed</w:t>
      </w:r>
      <w:r>
        <w:t xml:space="preserve"> </w:t>
      </w:r>
      <w:r w:rsidRPr="00D72A5F">
        <w:t>a model of the essential elements of successful remediation programs that w</w:t>
      </w:r>
      <w:r>
        <w:t xml:space="preserve">ould enhance existing efforts. </w:t>
      </w:r>
    </w:p>
    <w:p w:rsidR="00073FCC" w:rsidRPr="00D72A5F" w:rsidRDefault="00073FCC" w:rsidP="00073FCC">
      <w:pPr>
        <w:pStyle w:val="AHPRAbody"/>
      </w:pPr>
      <w:r w:rsidRPr="00D72A5F">
        <w:t>The four core components of their suggested remediation program are illustrated in this diagram</w:t>
      </w:r>
      <w:r>
        <w:t>.</w:t>
      </w:r>
    </w:p>
    <w:p w:rsidR="00073FCC" w:rsidRPr="00B62863" w:rsidRDefault="000D074E" w:rsidP="00073FCC">
      <w:pPr>
        <w:pStyle w:val="AHPRANumberedlistlevel1"/>
        <w:numPr>
          <w:ilvl w:val="0"/>
          <w:numId w:val="21"/>
        </w:numPr>
      </w:pPr>
      <w:r>
        <w:t xml:space="preserve">So at the top you will see there is a focus on </w:t>
      </w:r>
      <w:r w:rsidR="00073FCC" w:rsidRPr="00B62863">
        <w:t>initial assessment or screening</w:t>
      </w:r>
      <w:r>
        <w:t xml:space="preserve"> </w:t>
      </w:r>
      <w:r w:rsidR="00073FCC" w:rsidRPr="00B62863">
        <w:t xml:space="preserve">using multiple assessment tools to identify </w:t>
      </w:r>
      <w:r>
        <w:t xml:space="preserve">any </w:t>
      </w:r>
      <w:r w:rsidR="00073FCC" w:rsidRPr="00B62863">
        <w:t>deficiencies</w:t>
      </w:r>
      <w:r>
        <w:t>.</w:t>
      </w:r>
    </w:p>
    <w:p w:rsidR="00073FCC" w:rsidRPr="00B62863" w:rsidRDefault="000D074E" w:rsidP="00073FCC">
      <w:pPr>
        <w:pStyle w:val="AHPRANumberedlistlevel1"/>
      </w:pPr>
      <w:r>
        <w:t xml:space="preserve">The next box down shows </w:t>
      </w:r>
      <w:r w:rsidR="00073FCC" w:rsidRPr="00B62863">
        <w:t>diagnosis of problems an</w:t>
      </w:r>
      <w:r w:rsidR="00B37D48">
        <w:t>d development of an individualis</w:t>
      </w:r>
      <w:r w:rsidR="00073FCC" w:rsidRPr="00B62863">
        <w:t>ed learning plan</w:t>
      </w:r>
      <w:r>
        <w:t>.</w:t>
      </w:r>
    </w:p>
    <w:p w:rsidR="00073FCC" w:rsidRPr="00B62863" w:rsidRDefault="000D074E" w:rsidP="00073FCC">
      <w:pPr>
        <w:pStyle w:val="AHPRANumberedlistlevel1"/>
      </w:pPr>
      <w:r>
        <w:t xml:space="preserve">The next step is </w:t>
      </w:r>
      <w:r w:rsidR="00073FCC" w:rsidRPr="00B62863">
        <w:t>provision of instruction that includes deliberate practice, feedback and reflection</w:t>
      </w:r>
      <w:r>
        <w:t>.</w:t>
      </w:r>
    </w:p>
    <w:p w:rsidR="000D074E" w:rsidRPr="00B62863" w:rsidRDefault="000D074E" w:rsidP="00073FCC">
      <w:pPr>
        <w:pStyle w:val="AHPRANumberedlistlevel1"/>
      </w:pPr>
      <w:r>
        <w:t xml:space="preserve">And finally there’s the </w:t>
      </w:r>
      <w:r w:rsidR="00073FCC" w:rsidRPr="00B62863">
        <w:t xml:space="preserve">reassessment </w:t>
      </w:r>
      <w:r w:rsidR="00073FCC">
        <w:t>and certification of competence.</w:t>
      </w:r>
    </w:p>
    <w:p w:rsidR="00952B80" w:rsidRDefault="00952B80" w:rsidP="00952B80">
      <w:pPr>
        <w:pStyle w:val="AHPRANumberedlistlevel1"/>
        <w:numPr>
          <w:ilvl w:val="0"/>
          <w:numId w:val="0"/>
        </w:numPr>
        <w:ind w:left="369"/>
      </w:pPr>
    </w:p>
    <w:p w:rsidR="00073FCC" w:rsidRPr="00D72A5F" w:rsidRDefault="00073FCC" w:rsidP="00073FCC">
      <w:pPr>
        <w:pStyle w:val="AHPRAbody"/>
      </w:pPr>
      <w:r>
        <w:t>I</w:t>
      </w:r>
      <w:r w:rsidRPr="00D72A5F">
        <w:t>t’s also interesting to note</w:t>
      </w:r>
      <w:r w:rsidR="000D074E">
        <w:t xml:space="preserve">, over on the left side of this diagram, </w:t>
      </w:r>
      <w:r w:rsidRPr="00D72A5F">
        <w:t xml:space="preserve"> key emphasis placed on mentoring and coaching in their model</w:t>
      </w:r>
      <w:r w:rsidR="000D074E">
        <w:t xml:space="preserve"> and this </w:t>
      </w:r>
      <w:r w:rsidRPr="00D72A5F">
        <w:t xml:space="preserve">is highlighted as having involvement in both diagnosis of the problem or problems, development of the learning plan and instruction incorporating </w:t>
      </w:r>
      <w:r w:rsidR="000D074E">
        <w:t xml:space="preserve">the </w:t>
      </w:r>
      <w:r w:rsidRPr="00D72A5F">
        <w:t xml:space="preserve">practice, </w:t>
      </w:r>
      <w:r w:rsidR="000D074E">
        <w:t xml:space="preserve">the </w:t>
      </w:r>
      <w:r w:rsidRPr="00D72A5F">
        <w:t>feedback and reflection.</w:t>
      </w:r>
    </w:p>
    <w:p w:rsidR="00073FCC" w:rsidRPr="00073FCC" w:rsidRDefault="00073FCC" w:rsidP="00917055">
      <w:pPr>
        <w:pStyle w:val="AHPRAbody"/>
        <w:rPr>
          <w:b/>
        </w:rPr>
      </w:pPr>
      <w:r w:rsidRPr="00073FCC">
        <w:rPr>
          <w:b/>
        </w:rPr>
        <w:t>Slide 19</w:t>
      </w:r>
    </w:p>
    <w:p w:rsidR="000D074E" w:rsidRDefault="00271471" w:rsidP="00271471">
      <w:pPr>
        <w:pStyle w:val="AHPRAbody"/>
      </w:pPr>
      <w:r w:rsidRPr="00D72A5F">
        <w:t>So now we move to the fourth part of this presentation which focuses on recent developments and future possibilities around regulation of</w:t>
      </w:r>
      <w:r>
        <w:t xml:space="preserve"> professionalism related issues. </w:t>
      </w:r>
    </w:p>
    <w:p w:rsidR="000D074E" w:rsidRDefault="00271471" w:rsidP="00271471">
      <w:pPr>
        <w:pStyle w:val="AHPRAbody"/>
      </w:pPr>
      <w:r w:rsidRPr="00D72A5F">
        <w:t>There are a number of key challe</w:t>
      </w:r>
      <w:r>
        <w:t xml:space="preserve">nges or tensions in regulation. </w:t>
      </w:r>
    </w:p>
    <w:p w:rsidR="000D074E" w:rsidRDefault="00271471" w:rsidP="00271471">
      <w:pPr>
        <w:pStyle w:val="AHPRAbody"/>
      </w:pPr>
      <w:r w:rsidRPr="00D72A5F">
        <w:t xml:space="preserve">One is the challenge of evidence-based regulation – making good regulatory decisions on the basis </w:t>
      </w:r>
      <w:r>
        <w:t xml:space="preserve">of clear evidence of what works. </w:t>
      </w:r>
    </w:p>
    <w:p w:rsidR="000D074E" w:rsidRDefault="00271471" w:rsidP="00271471">
      <w:pPr>
        <w:pStyle w:val="AHPRAbody"/>
      </w:pPr>
      <w:r w:rsidRPr="00D72A5F">
        <w:t xml:space="preserve">Another relates to regulatory issues being just the tip of the iceberg.  </w:t>
      </w:r>
    </w:p>
    <w:p w:rsidR="00271471" w:rsidRDefault="00271471" w:rsidP="00271471">
      <w:pPr>
        <w:pStyle w:val="AHPRAbody"/>
      </w:pPr>
      <w:r w:rsidRPr="00D72A5F">
        <w:t>As Marie Bismark and colleagues state in their 2013 paper</w:t>
      </w:r>
      <w:r>
        <w:t>,</w:t>
      </w:r>
      <w:r w:rsidRPr="00D72A5F">
        <w:t xml:space="preserve"> </w:t>
      </w:r>
      <w:r>
        <w:t>c</w:t>
      </w:r>
      <w:r w:rsidRPr="00D72A5F">
        <w:t>omplaints are best understood as sentinel events and complainants as representation</w:t>
      </w:r>
      <w:r w:rsidR="000D074E">
        <w:t>s</w:t>
      </w:r>
      <w:r w:rsidRPr="00D72A5F">
        <w:t xml:space="preserve"> of much larger groups of harmed or dissatisfied patients</w:t>
      </w:r>
      <w:r>
        <w:t xml:space="preserve">. </w:t>
      </w:r>
    </w:p>
    <w:p w:rsidR="00073FCC" w:rsidRPr="00271471" w:rsidRDefault="00271471" w:rsidP="00917055">
      <w:pPr>
        <w:pStyle w:val="AHPRAbody"/>
        <w:rPr>
          <w:b/>
        </w:rPr>
      </w:pPr>
      <w:r w:rsidRPr="00271471">
        <w:rPr>
          <w:b/>
        </w:rPr>
        <w:t>Slide 20</w:t>
      </w:r>
    </w:p>
    <w:p w:rsidR="000D074E" w:rsidRDefault="00271471" w:rsidP="00271471">
      <w:pPr>
        <w:pStyle w:val="AHPRAbody"/>
      </w:pPr>
      <w:r>
        <w:t xml:space="preserve">There’s also a constant tension between reactive and proactive regulation. </w:t>
      </w:r>
    </w:p>
    <w:p w:rsidR="000D074E" w:rsidRDefault="00271471" w:rsidP="00271471">
      <w:pPr>
        <w:pStyle w:val="AHPRAbody"/>
      </w:pPr>
      <w:r>
        <w:t xml:space="preserve">That same research group went on to describe how </w:t>
      </w:r>
      <w:r w:rsidR="000D074E">
        <w:t>m</w:t>
      </w:r>
      <w:r>
        <w:t xml:space="preserve">edico-legal agencies </w:t>
      </w:r>
      <w:r w:rsidR="000D074E">
        <w:t xml:space="preserve">such as </w:t>
      </w:r>
      <w:r>
        <w:t>malpractice insurers, medical boards and complaints boards are mostly passive regulators –</w:t>
      </w:r>
      <w:r w:rsidR="000D074E">
        <w:t xml:space="preserve"> </w:t>
      </w:r>
      <w:r>
        <w:t xml:space="preserve">they react to episodes of substandard care, rather than intervening to prevent them. </w:t>
      </w:r>
    </w:p>
    <w:p w:rsidR="00271471" w:rsidRDefault="00271471" w:rsidP="00271471">
      <w:pPr>
        <w:pStyle w:val="AHPRAbody"/>
      </w:pPr>
      <w:r>
        <w:t>And then there is that ongoing and very practical issue of regulators being charged with the responsibility of ensuring public safety versus their regulatory measures</w:t>
      </w:r>
      <w:r w:rsidR="000D074E">
        <w:t xml:space="preserve"> </w:t>
      </w:r>
      <w:r>
        <w:t>causing interference with practitioners in their own clinical practice and the potential to provide assistance and guidance for practitioners in their own self-assessment and pursuit of self-improvement.</w:t>
      </w:r>
    </w:p>
    <w:p w:rsidR="00271471" w:rsidRPr="00A276D5" w:rsidRDefault="00271471" w:rsidP="00271471">
      <w:pPr>
        <w:pStyle w:val="AHPRAbody"/>
      </w:pPr>
      <w:r>
        <w:t>So I’m going to look at each of those issues in a little bit more detai</w:t>
      </w:r>
      <w:r w:rsidR="000A013F">
        <w:t>l.</w:t>
      </w:r>
    </w:p>
    <w:p w:rsidR="00271471" w:rsidRPr="00271471" w:rsidRDefault="00271471" w:rsidP="00917055">
      <w:pPr>
        <w:pStyle w:val="AHPRAbody"/>
        <w:rPr>
          <w:b/>
        </w:rPr>
      </w:pPr>
      <w:r w:rsidRPr="00271471">
        <w:rPr>
          <w:b/>
        </w:rPr>
        <w:t>Slide 21</w:t>
      </w:r>
    </w:p>
    <w:p w:rsidR="000A013F" w:rsidRDefault="00271471" w:rsidP="00271471">
      <w:pPr>
        <w:pStyle w:val="AHPRAbody"/>
      </w:pPr>
      <w:r w:rsidRPr="00D72A5F">
        <w:t>One of the recent attempts to move towards expanding the evidence base for regulatory decisions and dealing with the tip of the iceberg phenomenon is illustrated in the work of Marie Bismark and colleagues</w:t>
      </w:r>
      <w:r>
        <w:t>.</w:t>
      </w:r>
    </w:p>
    <w:p w:rsidR="000A013F" w:rsidRDefault="00271471" w:rsidP="00271471">
      <w:pPr>
        <w:pStyle w:val="AHPRAbody"/>
      </w:pPr>
      <w:r w:rsidRPr="00D72A5F">
        <w:t>Their 2013 paper describes the use of Health Services Ombudsmen data consisting of 18,907 formal patient complaints against doctors</w:t>
      </w:r>
      <w:r>
        <w:t xml:space="preserve"> between the years of 2000-2011. </w:t>
      </w:r>
    </w:p>
    <w:p w:rsidR="000A013F" w:rsidRDefault="00271471" w:rsidP="00271471">
      <w:pPr>
        <w:pStyle w:val="AHPRAbody"/>
      </w:pPr>
      <w:r w:rsidRPr="00D72A5F">
        <w:lastRenderedPageBreak/>
        <w:t xml:space="preserve">They focused this study on </w:t>
      </w:r>
      <w:r w:rsidR="000A013F">
        <w:t>d</w:t>
      </w:r>
      <w:r w:rsidRPr="00D72A5F">
        <w:t>octors with at l</w:t>
      </w:r>
      <w:r>
        <w:t xml:space="preserve">east one complaint and used a </w:t>
      </w:r>
      <w:r w:rsidRPr="00D72A5F">
        <w:t>recurrent-event survival analysis to identify characteristics of doctors at hig</w:t>
      </w:r>
      <w:r>
        <w:t xml:space="preserve">h risk of recurrent complaints. </w:t>
      </w:r>
    </w:p>
    <w:p w:rsidR="00271471" w:rsidRPr="00D72A5F" w:rsidRDefault="00271471" w:rsidP="00271471">
      <w:pPr>
        <w:pStyle w:val="AHPRAbody"/>
      </w:pPr>
      <w:r w:rsidRPr="00D72A5F">
        <w:t>They found that around 3% of doctors accounted for 49%</w:t>
      </w:r>
      <w:r>
        <w:t xml:space="preserve"> of patient complaints lodged. </w:t>
      </w:r>
      <w:r w:rsidRPr="00D72A5F">
        <w:t xml:space="preserve">And importantly, that it was feasible to predict doctors at high risk of incurring more complaints in the near future. </w:t>
      </w:r>
    </w:p>
    <w:p w:rsidR="00271471" w:rsidRPr="00D72A5F" w:rsidRDefault="00271471" w:rsidP="00271471">
      <w:pPr>
        <w:pStyle w:val="AHPRAbody"/>
      </w:pPr>
      <w:r w:rsidRPr="00D72A5F">
        <w:t>The multivariate predictors of recurrent complaints in medical practitioners were</w:t>
      </w:r>
      <w:r>
        <w:t xml:space="preserve"> identified as the number </w:t>
      </w:r>
      <w:r w:rsidRPr="00D72A5F">
        <w:t>of previous complaints,</w:t>
      </w:r>
      <w:r w:rsidR="000A013F">
        <w:t xml:space="preserve"> the</w:t>
      </w:r>
      <w:r w:rsidRPr="00D72A5F">
        <w:t xml:space="preserve"> specialty</w:t>
      </w:r>
      <w:r w:rsidR="000A013F">
        <w:t xml:space="preserve">, </w:t>
      </w:r>
      <w:r w:rsidRPr="00D72A5F">
        <w:t xml:space="preserve">for example plastic surgery was high up the list, </w:t>
      </w:r>
      <w:r w:rsidR="000A013F">
        <w:t xml:space="preserve">the practitioners being </w:t>
      </w:r>
      <w:r w:rsidRPr="00D72A5F">
        <w:t xml:space="preserve">male practitioners and practitioners </w:t>
      </w:r>
      <w:r w:rsidR="000A013F">
        <w:t xml:space="preserve">being </w:t>
      </w:r>
      <w:r w:rsidRPr="00D72A5F">
        <w:t>older than 36 years o</w:t>
      </w:r>
      <w:r>
        <w:t>f</w:t>
      </w:r>
      <w:r w:rsidRPr="00D72A5F">
        <w:t xml:space="preserve"> age.</w:t>
      </w:r>
    </w:p>
    <w:p w:rsidR="00271471" w:rsidRPr="00271471" w:rsidRDefault="00271471" w:rsidP="00917055">
      <w:pPr>
        <w:pStyle w:val="AHPRAbody"/>
        <w:rPr>
          <w:b/>
        </w:rPr>
      </w:pPr>
      <w:r w:rsidRPr="00271471">
        <w:rPr>
          <w:b/>
        </w:rPr>
        <w:t>Slide 22</w:t>
      </w:r>
    </w:p>
    <w:p w:rsidR="000A013F" w:rsidRDefault="00271471" w:rsidP="00271471">
      <w:pPr>
        <w:pStyle w:val="AHPRAbody"/>
      </w:pPr>
      <w:r w:rsidRPr="00D72A5F">
        <w:t xml:space="preserve">Subsequent work from </w:t>
      </w:r>
      <w:r w:rsidR="000A013F">
        <w:t xml:space="preserve">these researchers </w:t>
      </w:r>
      <w:r w:rsidRPr="00D72A5F">
        <w:t xml:space="preserve">then went on to develop the PRONE Score (or the </w:t>
      </w:r>
      <w:r>
        <w:t xml:space="preserve">predicted risk of </w:t>
      </w:r>
      <w:r w:rsidR="000A013F">
        <w:t xml:space="preserve">a </w:t>
      </w:r>
      <w:r>
        <w:t xml:space="preserve">new event). </w:t>
      </w:r>
    </w:p>
    <w:p w:rsidR="000A013F" w:rsidRDefault="00271471" w:rsidP="00271471">
      <w:pPr>
        <w:pStyle w:val="AHPRAbody"/>
      </w:pPr>
      <w:r w:rsidRPr="00D72A5F">
        <w:t>This 22 point scoring system indicates future complaint risk</w:t>
      </w:r>
      <w:r w:rsidR="005B18FF">
        <w:t>-</w:t>
      </w:r>
      <w:r w:rsidRPr="00D72A5F">
        <w:t xml:space="preserve">based on </w:t>
      </w:r>
      <w:r w:rsidR="000A013F">
        <w:t xml:space="preserve">four </w:t>
      </w:r>
      <w:r w:rsidRPr="00D72A5F">
        <w:t>variab</w:t>
      </w:r>
      <w:r w:rsidR="000A013F">
        <w:t xml:space="preserve">les and these variables are </w:t>
      </w:r>
      <w:r w:rsidRPr="00D72A5F">
        <w:t xml:space="preserve">specialty </w:t>
      </w:r>
      <w:r w:rsidR="000A013F">
        <w:t xml:space="preserve">which is given a ranking of </w:t>
      </w:r>
      <w:r w:rsidRPr="00D72A5F">
        <w:t xml:space="preserve">0-6, gender </w:t>
      </w:r>
      <w:r w:rsidR="000A013F">
        <w:t xml:space="preserve">which is given a ranking of </w:t>
      </w:r>
      <w:r w:rsidRPr="00D72A5F">
        <w:t>0</w:t>
      </w:r>
      <w:r w:rsidR="000A013F">
        <w:t xml:space="preserve"> for females</w:t>
      </w:r>
      <w:r w:rsidRPr="00D72A5F">
        <w:t xml:space="preserve"> or 2</w:t>
      </w:r>
      <w:r w:rsidR="000A013F">
        <w:t xml:space="preserve"> for males</w:t>
      </w:r>
      <w:r w:rsidRPr="00D72A5F">
        <w:t xml:space="preserve">, </w:t>
      </w:r>
      <w:r>
        <w:t>number</w:t>
      </w:r>
      <w:r w:rsidRPr="00D72A5F">
        <w:t xml:space="preserve"> of previous complaints </w:t>
      </w:r>
      <w:r w:rsidR="000A013F">
        <w:t xml:space="preserve">again given a score this time of </w:t>
      </w:r>
      <w:r w:rsidRPr="00D72A5F">
        <w:t>0-11</w:t>
      </w:r>
      <w:r>
        <w:t xml:space="preserve"> and the</w:t>
      </w:r>
      <w:r w:rsidRPr="00D72A5F">
        <w:t xml:space="preserve"> </w:t>
      </w:r>
      <w:r>
        <w:t xml:space="preserve">time elapsed since the last complaint </w:t>
      </w:r>
      <w:r w:rsidR="000A013F">
        <w:t xml:space="preserve">given a score of </w:t>
      </w:r>
      <w:r>
        <w:t xml:space="preserve">1-2. </w:t>
      </w:r>
    </w:p>
    <w:p w:rsidR="00271471" w:rsidRPr="00D72A5F" w:rsidRDefault="00271471" w:rsidP="00271471">
      <w:pPr>
        <w:pStyle w:val="AHPRAbody"/>
      </w:pPr>
      <w:r w:rsidRPr="00D72A5F">
        <w:t xml:space="preserve">In this paper they highlight their next steps in this </w:t>
      </w:r>
      <w:r w:rsidR="000A013F" w:rsidRPr="00D72A5F">
        <w:t>work</w:t>
      </w:r>
      <w:r w:rsidR="000A013F">
        <w:t xml:space="preserve">, and what they are interested in doing next is </w:t>
      </w:r>
      <w:r w:rsidRPr="00D72A5F">
        <w:t>convert</w:t>
      </w:r>
      <w:r w:rsidR="000A013F">
        <w:t>ing</w:t>
      </w:r>
      <w:r w:rsidRPr="00D72A5F">
        <w:t xml:space="preserve"> these predictions into </w:t>
      </w:r>
      <w:r w:rsidR="000A013F">
        <w:t xml:space="preserve">a </w:t>
      </w:r>
      <w:r w:rsidRPr="00D72A5F">
        <w:t>simple al</w:t>
      </w:r>
      <w:r>
        <w:t xml:space="preserve">gorithm for use by regulators </w:t>
      </w:r>
      <w:r w:rsidRPr="00D72A5F">
        <w:t xml:space="preserve">and to subsequently integrate </w:t>
      </w:r>
      <w:r w:rsidR="000A013F">
        <w:t xml:space="preserve">these </w:t>
      </w:r>
      <w:r w:rsidRPr="00D72A5F">
        <w:t>scores with appropriate interventions</w:t>
      </w:r>
      <w:r>
        <w:t>.</w:t>
      </w:r>
    </w:p>
    <w:p w:rsidR="00271471" w:rsidRPr="00756ABF" w:rsidRDefault="00756ABF" w:rsidP="00917055">
      <w:pPr>
        <w:pStyle w:val="AHPRAbody"/>
        <w:rPr>
          <w:b/>
        </w:rPr>
      </w:pPr>
      <w:r w:rsidRPr="00756ABF">
        <w:rPr>
          <w:b/>
        </w:rPr>
        <w:t>Slide 23</w:t>
      </w:r>
    </w:p>
    <w:p w:rsidR="000A013F" w:rsidRDefault="00756ABF" w:rsidP="00756ABF">
      <w:pPr>
        <w:pStyle w:val="AHPRAbody"/>
      </w:pPr>
      <w:r>
        <w:t xml:space="preserve">One of the challenges of evidence-based decisions is access to the evidence.  </w:t>
      </w:r>
    </w:p>
    <w:p w:rsidR="00D849FA" w:rsidRDefault="00756ABF" w:rsidP="00756ABF">
      <w:pPr>
        <w:pStyle w:val="AHPRAbody"/>
      </w:pPr>
      <w:r>
        <w:t xml:space="preserve">In that respect the move to a national regulatory framework in Australia provides huge advantage. </w:t>
      </w:r>
    </w:p>
    <w:p w:rsidR="00756ABF" w:rsidRDefault="00756ABF" w:rsidP="00756ABF">
      <w:pPr>
        <w:pStyle w:val="AHPRAbody"/>
      </w:pPr>
      <w:r>
        <w:t>The AHPRA database is a national dataset of Australian health practitioners with information about over 630,000 individuals</w:t>
      </w:r>
      <w:r w:rsidR="00D849FA">
        <w:t>.</w:t>
      </w:r>
    </w:p>
    <w:p w:rsidR="00756ABF" w:rsidRDefault="00D849FA" w:rsidP="00756ABF">
      <w:pPr>
        <w:pStyle w:val="AHPRAbody"/>
      </w:pPr>
      <w:r>
        <w:t>The s</w:t>
      </w:r>
      <w:r w:rsidR="00756ABF">
        <w:t xml:space="preserve">ources of data include </w:t>
      </w:r>
      <w:r>
        <w:t xml:space="preserve">the </w:t>
      </w:r>
      <w:r w:rsidR="00756ABF">
        <w:t xml:space="preserve">practitioners themselves when they </w:t>
      </w:r>
      <w:r>
        <w:t xml:space="preserve">provide information on registration or </w:t>
      </w:r>
      <w:r w:rsidR="00756ABF">
        <w:t>renew</w:t>
      </w:r>
      <w:r>
        <w:t>al of</w:t>
      </w:r>
      <w:r w:rsidR="00756ABF">
        <w:t xml:space="preserve"> registration</w:t>
      </w:r>
      <w:r>
        <w:t>, but the sources of data also include</w:t>
      </w:r>
      <w:r w:rsidR="00756ABF">
        <w:t xml:space="preserve"> independent assessors</w:t>
      </w:r>
      <w:r>
        <w:t xml:space="preserve">, </w:t>
      </w:r>
      <w:r w:rsidR="00756ABF">
        <w:t xml:space="preserve">notifiers </w:t>
      </w:r>
      <w:r>
        <w:t xml:space="preserve">who might be </w:t>
      </w:r>
      <w:r w:rsidR="00756ABF">
        <w:t>employers, educators, peers or patients</w:t>
      </w:r>
      <w:r>
        <w:t xml:space="preserve"> and</w:t>
      </w:r>
      <w:r w:rsidR="00756ABF">
        <w:t xml:space="preserve"> the </w:t>
      </w:r>
      <w:r>
        <w:t>B</w:t>
      </w:r>
      <w:r w:rsidR="00756ABF">
        <w:t xml:space="preserve">oards </w:t>
      </w:r>
      <w:r>
        <w:t xml:space="preserve">or </w:t>
      </w:r>
      <w:r w:rsidR="00756ABF">
        <w:t>tribunals</w:t>
      </w:r>
      <w:r>
        <w:t>.</w:t>
      </w:r>
    </w:p>
    <w:p w:rsidR="00756ABF" w:rsidRDefault="00756ABF" w:rsidP="00756ABF">
      <w:pPr>
        <w:pStyle w:val="AHPRAbody"/>
      </w:pPr>
      <w:r>
        <w:t>The kind of information included in the database includes age, sex, profession, specialty, country of training and practice location and other information collected in the voluntary workforce surveys which are conducted from time to time.</w:t>
      </w:r>
    </w:p>
    <w:p w:rsidR="00D849FA" w:rsidRDefault="00756ABF" w:rsidP="00756ABF">
      <w:pPr>
        <w:pStyle w:val="AHPRAbody"/>
      </w:pPr>
      <w:r>
        <w:t>There are a number of ways that the data can be accessed</w:t>
      </w:r>
      <w:r w:rsidR="00D849FA">
        <w:t>,</w:t>
      </w:r>
      <w:r>
        <w:t xml:space="preserve"> through searching the online national register, </w:t>
      </w:r>
      <w:r w:rsidR="00D849FA">
        <w:t xml:space="preserve">through </w:t>
      </w:r>
      <w:r>
        <w:t>purchasing a copy of the register or by lodging a specific data request</w:t>
      </w:r>
      <w:r w:rsidR="00D849FA">
        <w:t>.</w:t>
      </w:r>
    </w:p>
    <w:p w:rsidR="00756ABF" w:rsidRDefault="00756ABF" w:rsidP="00756ABF">
      <w:pPr>
        <w:pStyle w:val="AHPRAbody"/>
      </w:pPr>
      <w:r>
        <w:t xml:space="preserve">Applications for access assessed by a Strategic Data Access and Research Committee and </w:t>
      </w:r>
      <w:r w:rsidR="00D849FA">
        <w:t xml:space="preserve">they </w:t>
      </w:r>
      <w:r>
        <w:t>are of course</w:t>
      </w:r>
      <w:r w:rsidR="00D849FA">
        <w:t xml:space="preserve"> </w:t>
      </w:r>
      <w:r>
        <w:t xml:space="preserve">bound by </w:t>
      </w:r>
      <w:r w:rsidR="00D849FA">
        <w:t xml:space="preserve">very </w:t>
      </w:r>
      <w:r>
        <w:t>strict research protocols.</w:t>
      </w:r>
    </w:p>
    <w:p w:rsidR="00756ABF" w:rsidRPr="00756ABF" w:rsidRDefault="00756ABF" w:rsidP="00917055">
      <w:pPr>
        <w:pStyle w:val="AHPRAbody"/>
        <w:rPr>
          <w:b/>
        </w:rPr>
      </w:pPr>
      <w:r w:rsidRPr="00756ABF">
        <w:rPr>
          <w:b/>
        </w:rPr>
        <w:t>Slide 24</w:t>
      </w:r>
    </w:p>
    <w:p w:rsidR="00D849FA" w:rsidRDefault="00756ABF" w:rsidP="00917055">
      <w:pPr>
        <w:pStyle w:val="AHPRAbody"/>
      </w:pPr>
      <w:r w:rsidRPr="00756ABF">
        <w:t xml:space="preserve">There are a number of </w:t>
      </w:r>
      <w:r w:rsidR="00D849FA">
        <w:t>c</w:t>
      </w:r>
      <w:r w:rsidRPr="00756ABF">
        <w:t xml:space="preserve">urrent </w:t>
      </w:r>
      <w:r w:rsidR="00D849FA">
        <w:t>r</w:t>
      </w:r>
      <w:r w:rsidRPr="00756ABF">
        <w:t xml:space="preserve">esearch projects underway using various components of the AHPRA dataset. </w:t>
      </w:r>
    </w:p>
    <w:p w:rsidR="00D849FA" w:rsidRDefault="00756ABF" w:rsidP="00917055">
      <w:pPr>
        <w:pStyle w:val="AHPRAbody"/>
      </w:pPr>
      <w:r w:rsidRPr="00756ABF">
        <w:t xml:space="preserve">There is a University of Melbourne study exploring the impact of mandatory reporting on practitioner and public safety. </w:t>
      </w:r>
    </w:p>
    <w:p w:rsidR="00756ABF" w:rsidRDefault="00756ABF" w:rsidP="00917055">
      <w:pPr>
        <w:pStyle w:val="AHPRAbody"/>
      </w:pPr>
      <w:r w:rsidRPr="00756ABF">
        <w:t>A University of Sydney study is currently comparing the complaints investigation and management processes undertaken in N</w:t>
      </w:r>
      <w:r w:rsidR="00D849FA">
        <w:t xml:space="preserve">ew South Wales and </w:t>
      </w:r>
      <w:r w:rsidRPr="00756ABF">
        <w:t>compar</w:t>
      </w:r>
      <w:r w:rsidR="00D849FA">
        <w:t xml:space="preserve">ing those with </w:t>
      </w:r>
      <w:r w:rsidRPr="00756ABF">
        <w:t>AHPRA</w:t>
      </w:r>
      <w:r w:rsidR="00D849FA">
        <w:t>’s management processes</w:t>
      </w:r>
      <w:r w:rsidRPr="00756ABF">
        <w:t xml:space="preserve">, and </w:t>
      </w:r>
      <w:r w:rsidR="00D849FA">
        <w:t>there’s a</w:t>
      </w:r>
      <w:r w:rsidRPr="00756ABF">
        <w:t xml:space="preserve"> International Nurse Regulator Collaborative conducting a review of registered nurses’ health, performance and/or professional conduct matters.</w:t>
      </w:r>
    </w:p>
    <w:p w:rsidR="00756ABF" w:rsidRPr="00756ABF" w:rsidRDefault="00756ABF" w:rsidP="00917055">
      <w:pPr>
        <w:pStyle w:val="AHPRAbody"/>
        <w:rPr>
          <w:b/>
        </w:rPr>
      </w:pPr>
      <w:r w:rsidRPr="00756ABF">
        <w:rPr>
          <w:b/>
        </w:rPr>
        <w:t>Slide 25</w:t>
      </w:r>
    </w:p>
    <w:p w:rsidR="00D849FA" w:rsidRDefault="00D849FA" w:rsidP="00756ABF">
      <w:pPr>
        <w:pStyle w:val="AHPRAbody"/>
      </w:pPr>
      <w:r>
        <w:t>So now on to a</w:t>
      </w:r>
      <w:r w:rsidR="00756ABF">
        <w:t xml:space="preserve"> example of an approach to remediation of practitioners often focused on professionalism</w:t>
      </w:r>
      <w:r>
        <w:t xml:space="preserve"> </w:t>
      </w:r>
      <w:r w:rsidR="00756ABF">
        <w:t>which is both evidence</w:t>
      </w:r>
      <w:r w:rsidR="005B18FF">
        <w:t>-</w:t>
      </w:r>
      <w:r w:rsidR="00756ABF">
        <w:t xml:space="preserve">based </w:t>
      </w:r>
      <w:r>
        <w:t xml:space="preserve">and </w:t>
      </w:r>
      <w:r w:rsidR="00756ABF">
        <w:t xml:space="preserve"> proactive</w:t>
      </w:r>
      <w:r>
        <w:t xml:space="preserve">, and this </w:t>
      </w:r>
      <w:r w:rsidR="00756ABF">
        <w:t xml:space="preserve">comes from the Peer Assessment Program run by the </w:t>
      </w:r>
      <w:r>
        <w:t xml:space="preserve">Ontario </w:t>
      </w:r>
      <w:r w:rsidR="00756ABF">
        <w:t xml:space="preserve">College of Physicians and Surgeons. </w:t>
      </w:r>
    </w:p>
    <w:p w:rsidR="00756ABF" w:rsidRDefault="00756ABF" w:rsidP="00756ABF">
      <w:pPr>
        <w:pStyle w:val="AHPRAbody"/>
      </w:pPr>
      <w:r>
        <w:lastRenderedPageBreak/>
        <w:t>Their work has focused on identify</w:t>
      </w:r>
      <w:r w:rsidR="00D849FA">
        <w:t>ing</w:t>
      </w:r>
      <w:r>
        <w:t xml:space="preserve"> poorly performing physicians, design</w:t>
      </w:r>
      <w:r w:rsidR="00D849FA">
        <w:t>ing</w:t>
      </w:r>
      <w:r>
        <w:t xml:space="preserve"> of relevant education programs and </w:t>
      </w:r>
      <w:r w:rsidR="00D849FA">
        <w:t xml:space="preserve">then </w:t>
      </w:r>
      <w:r>
        <w:t>evaluat</w:t>
      </w:r>
      <w:r w:rsidR="00D849FA">
        <w:t>ing</w:t>
      </w:r>
      <w:r>
        <w:t xml:space="preserve"> the effectiveness of these programs.</w:t>
      </w:r>
    </w:p>
    <w:p w:rsidR="00D849FA" w:rsidRDefault="00756ABF" w:rsidP="00756ABF">
      <w:pPr>
        <w:pStyle w:val="AHPRAbody"/>
      </w:pPr>
      <w:r>
        <w:t xml:space="preserve">This approach has been going on for quite some time.  Their group developed a pilot in the 70’s and after initial success the program has been ongoing since 1981. </w:t>
      </w:r>
    </w:p>
    <w:p w:rsidR="00756ABF" w:rsidRDefault="00756ABF" w:rsidP="00756ABF">
      <w:pPr>
        <w:pStyle w:val="AHPRAbody"/>
      </w:pPr>
      <w:r>
        <w:t>As you can see from this diagram the program involves:</w:t>
      </w:r>
    </w:p>
    <w:p w:rsidR="00756ABF" w:rsidRDefault="00D849FA" w:rsidP="00756ABF">
      <w:pPr>
        <w:pStyle w:val="AHPRABulletlevel1"/>
      </w:pPr>
      <w:r>
        <w:t>an</w:t>
      </w:r>
      <w:r w:rsidR="00756ABF">
        <w:t xml:space="preserve"> individual practitioner providing basic practice information to assist in matching them to an appropriate assessor</w:t>
      </w:r>
    </w:p>
    <w:p w:rsidR="00756ABF" w:rsidRDefault="00756ABF" w:rsidP="00756ABF">
      <w:pPr>
        <w:pStyle w:val="AHPRABulletlevel1"/>
      </w:pPr>
      <w:r>
        <w:t>the assessor then reviews 20-30 randomly selected patient files</w:t>
      </w:r>
      <w:r w:rsidR="00D849FA">
        <w:t xml:space="preserve"> from the practitioners practice</w:t>
      </w:r>
    </w:p>
    <w:p w:rsidR="00756ABF" w:rsidRDefault="00756ABF" w:rsidP="00756ABF">
      <w:pPr>
        <w:pStyle w:val="AHPRABulletlevel1"/>
      </w:pPr>
      <w:r>
        <w:t>the</w:t>
      </w:r>
      <w:r w:rsidR="00D849FA">
        <w:t xml:space="preserve">n the practitioner and assessor have </w:t>
      </w:r>
      <w:r>
        <w:t xml:space="preserve">an interview </w:t>
      </w:r>
      <w:r w:rsidR="00D849FA">
        <w:t xml:space="preserve">and </w:t>
      </w:r>
      <w:r>
        <w:t>discuss the files, and</w:t>
      </w:r>
    </w:p>
    <w:p w:rsidR="00D849FA" w:rsidRDefault="00756ABF" w:rsidP="00756ABF">
      <w:pPr>
        <w:pStyle w:val="AHPRABulletlevel1"/>
      </w:pPr>
      <w:r>
        <w:t>then the College of Physicians and Surgeons of Ontario reviews the assessment documents and makes decisions regarding any requirement for mandatory follow-up.</w:t>
      </w:r>
    </w:p>
    <w:p w:rsidR="00952B80" w:rsidRDefault="00952B80" w:rsidP="00952B80">
      <w:pPr>
        <w:pStyle w:val="AHPRABulletlevel1"/>
        <w:numPr>
          <w:ilvl w:val="0"/>
          <w:numId w:val="0"/>
        </w:numPr>
        <w:ind w:left="720"/>
      </w:pPr>
    </w:p>
    <w:p w:rsidR="00D849FA" w:rsidRDefault="00756ABF" w:rsidP="00756ABF">
      <w:pPr>
        <w:pStyle w:val="AHPRAbody"/>
      </w:pPr>
      <w:r>
        <w:t xml:space="preserve">The college </w:t>
      </w:r>
      <w:r w:rsidR="00D849FA">
        <w:t xml:space="preserve">essentially will </w:t>
      </w:r>
      <w:r>
        <w:t>make one of three decisions</w:t>
      </w:r>
      <w:r w:rsidR="00D849FA">
        <w:t>.</w:t>
      </w:r>
    </w:p>
    <w:p w:rsidR="003546E8" w:rsidRDefault="00D849FA" w:rsidP="00917055">
      <w:pPr>
        <w:pStyle w:val="AHPRAbody"/>
      </w:pPr>
      <w:r>
        <w:t xml:space="preserve">The first </w:t>
      </w:r>
      <w:r w:rsidR="003546E8">
        <w:t>is that there’</w:t>
      </w:r>
      <w:r w:rsidR="001A6B2E">
        <w:t xml:space="preserve">s </w:t>
      </w:r>
      <w:r w:rsidR="00756ABF">
        <w:t xml:space="preserve">no further action </w:t>
      </w:r>
      <w:r w:rsidR="001A6B2E">
        <w:t xml:space="preserve">required </w:t>
      </w:r>
      <w:r w:rsidR="003546E8">
        <w:t xml:space="preserve">and this is </w:t>
      </w:r>
      <w:r w:rsidR="00756ABF">
        <w:t xml:space="preserve">on the basis of </w:t>
      </w:r>
      <w:r w:rsidR="003546E8">
        <w:t xml:space="preserve">clearly of </w:t>
      </w:r>
      <w:r w:rsidR="00756ABF">
        <w:t>satisfactory performance</w:t>
      </w:r>
      <w:r w:rsidR="003546E8">
        <w:t xml:space="preserve">. </w:t>
      </w:r>
    </w:p>
    <w:p w:rsidR="003546E8" w:rsidRDefault="003546E8" w:rsidP="00917055">
      <w:pPr>
        <w:pStyle w:val="AHPRAbody"/>
      </w:pPr>
      <w:r>
        <w:t xml:space="preserve">The second decision they can make is that the practitioner needs a </w:t>
      </w:r>
      <w:r w:rsidR="00756ABF">
        <w:t>reassessment</w:t>
      </w:r>
      <w:r>
        <w:t xml:space="preserve"> </w:t>
      </w:r>
      <w:r w:rsidR="00756ABF">
        <w:t>in order to obtain more clarity</w:t>
      </w:r>
      <w:r>
        <w:t xml:space="preserve"> around their performance.</w:t>
      </w:r>
    </w:p>
    <w:p w:rsidR="00756ABF" w:rsidRDefault="003546E8" w:rsidP="00917055">
      <w:pPr>
        <w:pStyle w:val="AHPRAbody"/>
      </w:pPr>
      <w:r>
        <w:t xml:space="preserve">And the third decision they can make is to </w:t>
      </w:r>
      <w:r w:rsidR="00756ABF">
        <w:t xml:space="preserve">refer the practitioner to have an interview with the </w:t>
      </w:r>
      <w:r>
        <w:t>Q</w:t>
      </w:r>
      <w:r w:rsidR="00756ABF">
        <w:t xml:space="preserve">uality </w:t>
      </w:r>
      <w:r>
        <w:t>A</w:t>
      </w:r>
      <w:r w:rsidR="00756ABF">
        <w:t xml:space="preserve">ssurance </w:t>
      </w:r>
      <w:r>
        <w:t>C</w:t>
      </w:r>
      <w:r w:rsidR="00756ABF">
        <w:t xml:space="preserve">ommittee </w:t>
      </w:r>
      <w:r>
        <w:t xml:space="preserve">and obviously that happens </w:t>
      </w:r>
      <w:r w:rsidR="00756ABF">
        <w:t>if care concerns are discovered</w:t>
      </w:r>
      <w:r>
        <w:t>.</w:t>
      </w:r>
    </w:p>
    <w:p w:rsidR="00D33F69" w:rsidRPr="00D33F69" w:rsidRDefault="00D33F69" w:rsidP="00917055">
      <w:pPr>
        <w:pStyle w:val="AHPRAbody"/>
        <w:rPr>
          <w:b/>
        </w:rPr>
      </w:pPr>
      <w:r w:rsidRPr="00D33F69">
        <w:rPr>
          <w:b/>
        </w:rPr>
        <w:t>Slide 26</w:t>
      </w:r>
    </w:p>
    <w:p w:rsidR="003546E8" w:rsidRDefault="00D33F69" w:rsidP="00D33F69">
      <w:pPr>
        <w:pStyle w:val="AHPRAbody"/>
      </w:pPr>
      <w:r>
        <w:t>They reviewed the effect of the</w:t>
      </w:r>
      <w:r w:rsidR="003546E8">
        <w:t>ir</w:t>
      </w:r>
      <w:r>
        <w:t xml:space="preserve"> program after t</w:t>
      </w:r>
      <w:r w:rsidR="003546E8">
        <w:t xml:space="preserve">he </w:t>
      </w:r>
      <w:r>
        <w:t xml:space="preserve">first </w:t>
      </w:r>
      <w:r w:rsidR="003546E8">
        <w:t>five</w:t>
      </w:r>
      <w:r>
        <w:t xml:space="preserve"> years of full operation and </w:t>
      </w:r>
      <w:r w:rsidR="003546E8">
        <w:t xml:space="preserve">they published </w:t>
      </w:r>
      <w:r>
        <w:t xml:space="preserve">the results in this paper by McAuley and colleagues in 1990. </w:t>
      </w:r>
    </w:p>
    <w:p w:rsidR="003546E8" w:rsidRDefault="003546E8" w:rsidP="00D33F69">
      <w:pPr>
        <w:pStyle w:val="AHPRAbody"/>
      </w:pPr>
      <w:r>
        <w:t>So they found that b</w:t>
      </w:r>
      <w:r w:rsidR="00D33F69">
        <w:t>etween the years of 1981-1985, 918 practitioners had been involved in the program.</w:t>
      </w:r>
    </w:p>
    <w:p w:rsidR="00D33F69" w:rsidRDefault="00D33F69" w:rsidP="00D33F69">
      <w:pPr>
        <w:pStyle w:val="AHPRAbody"/>
      </w:pPr>
      <w:r>
        <w:t xml:space="preserve">101 </w:t>
      </w:r>
      <w:r w:rsidR="003546E8">
        <w:t xml:space="preserve">or </w:t>
      </w:r>
      <w:r>
        <w:t xml:space="preserve">11% were identified as having significant care concerns </w:t>
      </w:r>
      <w:r w:rsidR="003546E8">
        <w:t xml:space="preserve">and </w:t>
      </w:r>
      <w:r>
        <w:t xml:space="preserve">these practitioners were therefore interviewed by the </w:t>
      </w:r>
      <w:r w:rsidR="003546E8">
        <w:t>Q</w:t>
      </w:r>
      <w:r>
        <w:t xml:space="preserve">uality </w:t>
      </w:r>
      <w:r w:rsidR="003546E8">
        <w:t>A</w:t>
      </w:r>
      <w:r>
        <w:t xml:space="preserve">ssessment </w:t>
      </w:r>
      <w:r w:rsidR="003546E8">
        <w:t>C</w:t>
      </w:r>
      <w:r>
        <w:t>ommittee with patient records and one assessor present.</w:t>
      </w:r>
    </w:p>
    <w:p w:rsidR="003546E8" w:rsidRDefault="00D33F69" w:rsidP="00D33F69">
      <w:pPr>
        <w:pStyle w:val="AHPRAbody"/>
      </w:pPr>
      <w:r>
        <w:t xml:space="preserve">66% of these </w:t>
      </w:r>
      <w:r w:rsidR="003546E8">
        <w:t xml:space="preserve">practitioners </w:t>
      </w:r>
      <w:r>
        <w:t>were judged to have serious deficiencies necessitat</w:t>
      </w:r>
      <w:r w:rsidR="003546E8">
        <w:t>ed</w:t>
      </w:r>
      <w:r>
        <w:t xml:space="preserve"> specific recommendations and reassessment. </w:t>
      </w:r>
    </w:p>
    <w:p w:rsidR="003546E8" w:rsidRDefault="00D33F69" w:rsidP="00D33F69">
      <w:pPr>
        <w:pStyle w:val="AHPRAbody"/>
      </w:pPr>
      <w:r>
        <w:t xml:space="preserve">29% </w:t>
      </w:r>
      <w:r w:rsidR="003546E8">
        <w:t xml:space="preserve">of the practitioners </w:t>
      </w:r>
      <w:r>
        <w:t xml:space="preserve">received suggestions but required no reassessment as all had initiated improvements </w:t>
      </w:r>
      <w:r w:rsidR="003546E8">
        <w:t xml:space="preserve">by being visited in their practice by the assessor and </w:t>
      </w:r>
      <w:r>
        <w:t>most</w:t>
      </w:r>
      <w:r w:rsidR="003546E8">
        <w:t xml:space="preserve"> of these areas of improvement related to</w:t>
      </w:r>
      <w:r>
        <w:t xml:space="preserve"> record keeping</w:t>
      </w:r>
      <w:r w:rsidR="003546E8">
        <w:t>.</w:t>
      </w:r>
    </w:p>
    <w:p w:rsidR="003546E8" w:rsidRDefault="00D33F69" w:rsidP="00D33F69">
      <w:pPr>
        <w:pStyle w:val="AHPRAbody"/>
      </w:pPr>
      <w:r>
        <w:t xml:space="preserve">3% </w:t>
      </w:r>
      <w:r w:rsidR="003546E8">
        <w:t xml:space="preserve">of practitioners </w:t>
      </w:r>
      <w:r>
        <w:t xml:space="preserve">were referred </w:t>
      </w:r>
      <w:r w:rsidR="003546E8">
        <w:t xml:space="preserve">for further regulatory action </w:t>
      </w:r>
      <w:r>
        <w:t>due to risk to the</w:t>
      </w:r>
      <w:r w:rsidR="003546E8">
        <w:t>ir</w:t>
      </w:r>
      <w:r>
        <w:t xml:space="preserve"> public</w:t>
      </w:r>
      <w:r w:rsidR="003546E8">
        <w:t xml:space="preserve"> and </w:t>
      </w:r>
      <w:r>
        <w:t xml:space="preserve">2% </w:t>
      </w:r>
      <w:r w:rsidR="003546E8">
        <w:t xml:space="preserve">of practitioners </w:t>
      </w:r>
      <w:r>
        <w:t xml:space="preserve">retired. </w:t>
      </w:r>
    </w:p>
    <w:p w:rsidR="00D33F69" w:rsidRDefault="00D33F69" w:rsidP="00D33F69">
      <w:pPr>
        <w:pStyle w:val="AHPRAbody"/>
      </w:pPr>
      <w:r>
        <w:t>Interestingly they noted a significant relationship between poor patient records and deficient care.</w:t>
      </w:r>
    </w:p>
    <w:p w:rsidR="00D33F69" w:rsidRPr="00D33F69" w:rsidRDefault="00D33F69" w:rsidP="00917055">
      <w:pPr>
        <w:pStyle w:val="AHPRAbody"/>
        <w:rPr>
          <w:b/>
        </w:rPr>
      </w:pPr>
      <w:r w:rsidRPr="00D33F69">
        <w:rPr>
          <w:b/>
        </w:rPr>
        <w:t>Slide 27</w:t>
      </w:r>
    </w:p>
    <w:p w:rsidR="00D33F69" w:rsidRDefault="00D33F69" w:rsidP="00D33F69">
      <w:pPr>
        <w:pStyle w:val="AHPRAbody"/>
      </w:pPr>
      <w:r>
        <w:t xml:space="preserve">Within that same </w:t>
      </w:r>
      <w:r w:rsidR="003546E8">
        <w:t>five</w:t>
      </w:r>
      <w:r>
        <w:t xml:space="preserve"> year period there were 56 </w:t>
      </w:r>
      <w:r w:rsidR="003546E8">
        <w:t>practitioners</w:t>
      </w:r>
      <w:r>
        <w:t xml:space="preserve"> who were reassessed</w:t>
      </w:r>
      <w:r w:rsidR="003546E8">
        <w:t>, so they had been assessed twice</w:t>
      </w:r>
      <w:r>
        <w:t xml:space="preserve"> during the study period. </w:t>
      </w:r>
    </w:p>
    <w:p w:rsidR="00D33F69" w:rsidRDefault="00D33F69" w:rsidP="00D33F69">
      <w:pPr>
        <w:pStyle w:val="AHPRAbody"/>
      </w:pPr>
      <w:r>
        <w:t>Of these practitioners:</w:t>
      </w:r>
    </w:p>
    <w:p w:rsidR="00D33F69" w:rsidRDefault="00D33F69" w:rsidP="00D33F69">
      <w:pPr>
        <w:pStyle w:val="AHPRABulletlevel1"/>
      </w:pPr>
      <w:r>
        <w:t xml:space="preserve">29 </w:t>
      </w:r>
      <w:r w:rsidR="003546E8">
        <w:t xml:space="preserve"> or </w:t>
      </w:r>
      <w:r>
        <w:t>52% had satisfactorily addressed the concerns of the Peer Assessment Committee</w:t>
      </w:r>
    </w:p>
    <w:p w:rsidR="00D33F69" w:rsidRDefault="00D33F69" w:rsidP="00D33F69">
      <w:pPr>
        <w:pStyle w:val="AHPRABulletlevel1"/>
      </w:pPr>
      <w:r>
        <w:t xml:space="preserve">12 </w:t>
      </w:r>
      <w:r w:rsidR="003546E8">
        <w:t xml:space="preserve">practitioners or </w:t>
      </w:r>
      <w:r>
        <w:t>21% had made improvements but still caused some concern</w:t>
      </w:r>
    </w:p>
    <w:p w:rsidR="00D33F69" w:rsidRDefault="00D33F69" w:rsidP="00D33F69">
      <w:pPr>
        <w:pStyle w:val="AHPRABulletlevel1"/>
      </w:pPr>
      <w:r>
        <w:t xml:space="preserve">11 </w:t>
      </w:r>
      <w:r w:rsidR="003546E8">
        <w:t xml:space="preserve">practitioners or </w:t>
      </w:r>
      <w:r>
        <w:t xml:space="preserve">20% had failed to make the recommended improvements, and </w:t>
      </w:r>
    </w:p>
    <w:p w:rsidR="003546E8" w:rsidRDefault="003546E8" w:rsidP="00D33F69">
      <w:pPr>
        <w:pStyle w:val="AHPRABulletlevel1"/>
      </w:pPr>
      <w:r>
        <w:t>four</w:t>
      </w:r>
      <w:r w:rsidR="00D33F69">
        <w:t xml:space="preserve"> </w:t>
      </w:r>
      <w:r>
        <w:t xml:space="preserve">practitioners or </w:t>
      </w:r>
      <w:r w:rsidR="00D33F69">
        <w:t xml:space="preserve">7% had </w:t>
      </w:r>
      <w:r>
        <w:t xml:space="preserve">subsequently </w:t>
      </w:r>
      <w:r w:rsidR="00D33F69">
        <w:t xml:space="preserve">retired from practice. </w:t>
      </w:r>
    </w:p>
    <w:p w:rsidR="00952B80" w:rsidRDefault="00952B80" w:rsidP="00952B80">
      <w:pPr>
        <w:pStyle w:val="AHPRABulletlevel1"/>
        <w:numPr>
          <w:ilvl w:val="0"/>
          <w:numId w:val="0"/>
        </w:numPr>
        <w:ind w:left="720"/>
      </w:pPr>
    </w:p>
    <w:p w:rsidR="00D33F69" w:rsidRDefault="00D33F69" w:rsidP="00D33F69">
      <w:pPr>
        <w:pStyle w:val="AHPRAbody"/>
      </w:pPr>
      <w:r>
        <w:t>What is really interesting to me</w:t>
      </w:r>
      <w:r w:rsidR="00F03C6D">
        <w:t xml:space="preserve"> and encouraging</w:t>
      </w:r>
      <w:r>
        <w:t xml:space="preserve"> is the fact that over 50% of practitioners who were reassessed had</w:t>
      </w:r>
      <w:r w:rsidR="00B37D48">
        <w:t xml:space="preserve"> addressed the concerns raised.</w:t>
      </w:r>
    </w:p>
    <w:p w:rsidR="00C60EAD" w:rsidRDefault="00C60EAD" w:rsidP="00917055">
      <w:pPr>
        <w:pStyle w:val="AHPRAbody"/>
        <w:rPr>
          <w:b/>
        </w:rPr>
      </w:pPr>
    </w:p>
    <w:p w:rsidR="00D33F69" w:rsidRPr="00D33F69" w:rsidRDefault="00D33F69" w:rsidP="00917055">
      <w:pPr>
        <w:pStyle w:val="AHPRAbody"/>
        <w:rPr>
          <w:b/>
        </w:rPr>
      </w:pPr>
      <w:r w:rsidRPr="00D33F69">
        <w:rPr>
          <w:b/>
        </w:rPr>
        <w:lastRenderedPageBreak/>
        <w:t>Slide 28</w:t>
      </w:r>
    </w:p>
    <w:p w:rsidR="00F03C6D" w:rsidRDefault="00D33F69" w:rsidP="00D33F69">
      <w:pPr>
        <w:pStyle w:val="AHPRAbody"/>
      </w:pPr>
      <w:r w:rsidRPr="00D72A5F">
        <w:t xml:space="preserve">Further developments to the original </w:t>
      </w:r>
      <w:r w:rsidR="00F03C6D">
        <w:t>P</w:t>
      </w:r>
      <w:r w:rsidRPr="00D72A5F">
        <w:t xml:space="preserve">eer </w:t>
      </w:r>
      <w:r w:rsidR="00F03C6D">
        <w:t>A</w:t>
      </w:r>
      <w:r w:rsidRPr="00D72A5F">
        <w:t xml:space="preserve">ssessment </w:t>
      </w:r>
      <w:r w:rsidR="00F03C6D">
        <w:t>p</w:t>
      </w:r>
      <w:r w:rsidRPr="00D72A5F">
        <w:t>rogram in Ontario have resulted in the En</w:t>
      </w:r>
      <w:r>
        <w:t xml:space="preserve">hanced Peer Assessment program. </w:t>
      </w:r>
    </w:p>
    <w:p w:rsidR="00F03C6D" w:rsidRDefault="00F03C6D" w:rsidP="00D33F69">
      <w:pPr>
        <w:pStyle w:val="AHPRAbody"/>
      </w:pPr>
      <w:r>
        <w:t>Now t</w:t>
      </w:r>
      <w:r w:rsidR="00D33F69" w:rsidRPr="00D72A5F">
        <w:t xml:space="preserve">his program was rolled out in Ontario in 2003 as a result of the perceived need to value add for the more than 80% of practitioners who were judged to be practicing well.  </w:t>
      </w:r>
    </w:p>
    <w:p w:rsidR="00F03C6D" w:rsidRDefault="00D33F69" w:rsidP="00D33F69">
      <w:pPr>
        <w:pStyle w:val="AHPRAbody"/>
      </w:pPr>
      <w:r w:rsidRPr="00D72A5F">
        <w:t xml:space="preserve">This frames peer assessment as an </w:t>
      </w:r>
      <w:r w:rsidR="00F03C6D">
        <w:t>e</w:t>
      </w:r>
      <w:r w:rsidRPr="00D72A5F">
        <w:t>ducational opportunity for practitioners based on the princ</w:t>
      </w:r>
      <w:r>
        <w:t>iples of self</w:t>
      </w:r>
      <w:r w:rsidR="00F03C6D">
        <w:t>-</w:t>
      </w:r>
      <w:r>
        <w:t xml:space="preserve">directed learning. </w:t>
      </w:r>
    </w:p>
    <w:p w:rsidR="00D33F69" w:rsidRPr="00D72A5F" w:rsidRDefault="00D33F69" w:rsidP="00D33F69">
      <w:pPr>
        <w:pStyle w:val="AHPRAbody"/>
      </w:pPr>
      <w:r w:rsidRPr="00D72A5F">
        <w:t>As such it involves the key components of:</w:t>
      </w:r>
    </w:p>
    <w:p w:rsidR="00D33F69" w:rsidRPr="00D72A5F" w:rsidRDefault="00F03C6D" w:rsidP="00D33F69">
      <w:pPr>
        <w:pStyle w:val="AHPRABulletlevel1"/>
      </w:pPr>
      <w:r>
        <w:t>r</w:t>
      </w:r>
      <w:r w:rsidR="00D33F69" w:rsidRPr="00D72A5F">
        <w:t>eflection on practice</w:t>
      </w:r>
    </w:p>
    <w:p w:rsidR="00D33F69" w:rsidRPr="00D72A5F" w:rsidRDefault="00F03C6D" w:rsidP="00D33F69">
      <w:pPr>
        <w:pStyle w:val="AHPRABulletlevel1"/>
      </w:pPr>
      <w:r>
        <w:t>d</w:t>
      </w:r>
      <w:r w:rsidR="00D33F69" w:rsidRPr="00D72A5F">
        <w:t>etermining individual learning needs</w:t>
      </w:r>
    </w:p>
    <w:p w:rsidR="00D33F69" w:rsidRPr="00D72A5F" w:rsidRDefault="00F03C6D" w:rsidP="00D33F69">
      <w:pPr>
        <w:pStyle w:val="AHPRABulletlevel1"/>
      </w:pPr>
      <w:r>
        <w:t>e</w:t>
      </w:r>
      <w:r w:rsidR="00D33F69" w:rsidRPr="00D72A5F">
        <w:t>stablishing learning goals and objectives</w:t>
      </w:r>
    </w:p>
    <w:p w:rsidR="00D33F69" w:rsidRPr="00D72A5F" w:rsidRDefault="00F03C6D" w:rsidP="00D33F69">
      <w:pPr>
        <w:pStyle w:val="AHPRABulletlevel1"/>
      </w:pPr>
      <w:r>
        <w:t>i</w:t>
      </w:r>
      <w:r w:rsidR="00D33F69" w:rsidRPr="00D72A5F">
        <w:t>dentifying resources for learning</w:t>
      </w:r>
      <w:r>
        <w:t>, and</w:t>
      </w:r>
    </w:p>
    <w:p w:rsidR="00D33F69" w:rsidRPr="00D72A5F" w:rsidRDefault="00F03C6D" w:rsidP="00D33F69">
      <w:pPr>
        <w:pStyle w:val="AHPRABulletlevel1"/>
      </w:pPr>
      <w:r>
        <w:t>i</w:t>
      </w:r>
      <w:r w:rsidR="00D33F69" w:rsidRPr="00D72A5F">
        <w:t>mplementing appropriate learning strategies</w:t>
      </w:r>
      <w:r>
        <w:t>.</w:t>
      </w:r>
    </w:p>
    <w:p w:rsidR="00D33F69" w:rsidRPr="00D33F69" w:rsidRDefault="00D33F69" w:rsidP="00917055">
      <w:pPr>
        <w:pStyle w:val="AHPRAbody"/>
        <w:rPr>
          <w:b/>
        </w:rPr>
      </w:pPr>
      <w:r>
        <w:br/>
      </w:r>
      <w:r w:rsidRPr="00D33F69">
        <w:rPr>
          <w:b/>
        </w:rPr>
        <w:t>Slide 29</w:t>
      </w:r>
    </w:p>
    <w:p w:rsidR="00D33F69" w:rsidRDefault="00D33F69" w:rsidP="00D33F69">
      <w:pPr>
        <w:pStyle w:val="AHPRAbody"/>
      </w:pPr>
      <w:r>
        <w:t>This diagram serves to illustrate how the program works.</w:t>
      </w:r>
    </w:p>
    <w:p w:rsidR="00D33F69" w:rsidRDefault="00D33F69" w:rsidP="00D33F69">
      <w:pPr>
        <w:pStyle w:val="AHPRABulletlevel1"/>
      </w:pPr>
      <w:r>
        <w:t>An initial step involves the physician reflecting on their practice and establishing their learning objectives for the assessment</w:t>
      </w:r>
      <w:r w:rsidR="00F03C6D">
        <w:t>.</w:t>
      </w:r>
    </w:p>
    <w:p w:rsidR="00D33F69" w:rsidRDefault="00D33F69" w:rsidP="00D33F69">
      <w:pPr>
        <w:pStyle w:val="AHPRABulletlevel1"/>
      </w:pPr>
      <w:r>
        <w:t>The</w:t>
      </w:r>
      <w:r w:rsidR="00F03C6D">
        <w:t>n there</w:t>
      </w:r>
      <w:r>
        <w:t xml:space="preserve"> is an initial telephone call between the assessor and the</w:t>
      </w:r>
      <w:r w:rsidR="00F03C6D">
        <w:t xml:space="preserve"> doctor</w:t>
      </w:r>
      <w:r>
        <w:t xml:space="preserve"> to discuss the learning objectives of the assessment</w:t>
      </w:r>
      <w:r w:rsidR="00F03C6D">
        <w:t>.</w:t>
      </w:r>
    </w:p>
    <w:p w:rsidR="00D33F69" w:rsidRDefault="00D33F69" w:rsidP="00D33F69">
      <w:pPr>
        <w:pStyle w:val="AHPRABulletlevel1"/>
      </w:pPr>
      <w:r>
        <w:t xml:space="preserve">Then the usual visit takes place with: </w:t>
      </w:r>
    </w:p>
    <w:p w:rsidR="00952B80" w:rsidRDefault="00D33F69" w:rsidP="00952B80">
      <w:pPr>
        <w:pStyle w:val="AHPRABulletlevel1"/>
        <w:numPr>
          <w:ilvl w:val="1"/>
          <w:numId w:val="2"/>
        </w:numPr>
      </w:pPr>
      <w:r>
        <w:t>the assessor reviewing patient files, but with specific attention on identifying care gaps and opportunities for improvement</w:t>
      </w:r>
    </w:p>
    <w:p w:rsidR="00952B80" w:rsidRDefault="00F03C6D" w:rsidP="00952B80">
      <w:pPr>
        <w:pStyle w:val="AHPRABulletlevel1"/>
        <w:numPr>
          <w:ilvl w:val="1"/>
          <w:numId w:val="2"/>
        </w:numPr>
      </w:pPr>
      <w:r>
        <w:t>t</w:t>
      </w:r>
      <w:r w:rsidR="00D33F69">
        <w:t>here is the one on one interaction interview discussing practice</w:t>
      </w:r>
      <w:r>
        <w:t>-</w:t>
      </w:r>
      <w:r w:rsidR="00D33F69">
        <w:t xml:space="preserve">based learning needs and recommendations for improvement identified through the </w:t>
      </w:r>
      <w:r>
        <w:t xml:space="preserve">patient file </w:t>
      </w:r>
      <w:r w:rsidR="00D33F69">
        <w:t>review</w:t>
      </w:r>
    </w:p>
    <w:p w:rsidR="00952B80" w:rsidRDefault="00F03C6D" w:rsidP="00952B80">
      <w:pPr>
        <w:pStyle w:val="AHPRABulletlevel1"/>
        <w:numPr>
          <w:ilvl w:val="1"/>
          <w:numId w:val="2"/>
        </w:numPr>
      </w:pPr>
      <w:r>
        <w:t>t</w:t>
      </w:r>
      <w:r w:rsidR="00D33F69">
        <w:t>hen a discussion of the pre assessment learning objectives set by the physician</w:t>
      </w:r>
      <w:r>
        <w:t xml:space="preserve"> and the d</w:t>
      </w:r>
      <w:r w:rsidR="00D33F69">
        <w:t>evelopment of the practice-based education plan</w:t>
      </w:r>
      <w:r>
        <w:t>, a</w:t>
      </w:r>
      <w:r w:rsidR="00D33F69">
        <w:t xml:space="preserve">nd </w:t>
      </w:r>
    </w:p>
    <w:p w:rsidR="00952B80" w:rsidRDefault="00D33F69" w:rsidP="00952B80">
      <w:pPr>
        <w:pStyle w:val="AHPRABulletlevel1"/>
        <w:numPr>
          <w:ilvl w:val="1"/>
          <w:numId w:val="2"/>
        </w:numPr>
      </w:pPr>
      <w:r>
        <w:t>the assessor directs the physician to appropriate learning resources</w:t>
      </w:r>
      <w:r w:rsidR="00F03C6D">
        <w:t>.</w:t>
      </w:r>
    </w:p>
    <w:p w:rsidR="00D33F69" w:rsidRDefault="00D33F69" w:rsidP="00D33F69">
      <w:pPr>
        <w:pStyle w:val="AHPRABulletlevel1"/>
      </w:pPr>
      <w:r>
        <w:t xml:space="preserve">There is the usual college of physician and surgeons review and decisions – with the same three outcomes </w:t>
      </w:r>
      <w:r w:rsidR="00F03C6D">
        <w:t xml:space="preserve">of </w:t>
      </w:r>
      <w:r>
        <w:t>–</w:t>
      </w:r>
      <w:r w:rsidR="00C60EAD">
        <w:t xml:space="preserve"> </w:t>
      </w:r>
      <w:r>
        <w:t>no further action, reassessment or interview with the Q</w:t>
      </w:r>
      <w:r w:rsidR="003546E8">
        <w:t>uality Assurance C</w:t>
      </w:r>
      <w:r>
        <w:t>ommittee if care concerns are found</w:t>
      </w:r>
      <w:r w:rsidR="00F03C6D">
        <w:t>.</w:t>
      </w:r>
    </w:p>
    <w:p w:rsidR="00F03C6D" w:rsidRDefault="00D33F69" w:rsidP="00F03C6D">
      <w:pPr>
        <w:pStyle w:val="AHPRABulletlevel1"/>
      </w:pPr>
      <w:r>
        <w:t xml:space="preserve">But independent of those recommendations, the assessor follows up with the practitioner to review the educational plan, </w:t>
      </w:r>
      <w:r w:rsidR="00F03C6D">
        <w:t xml:space="preserve">to </w:t>
      </w:r>
      <w:r>
        <w:t>discuss progress and to identify and discuss any barriers to learning.</w:t>
      </w:r>
    </w:p>
    <w:p w:rsidR="00952B80" w:rsidRDefault="00952B80" w:rsidP="00952B80">
      <w:pPr>
        <w:pStyle w:val="AHPRABulletlevel1"/>
        <w:numPr>
          <w:ilvl w:val="0"/>
          <w:numId w:val="0"/>
        </w:numPr>
        <w:ind w:left="720"/>
      </w:pPr>
    </w:p>
    <w:p w:rsidR="004D691D" w:rsidRPr="004D691D" w:rsidRDefault="004D691D" w:rsidP="00917055">
      <w:pPr>
        <w:pStyle w:val="AHPRAbody"/>
        <w:rPr>
          <w:b/>
        </w:rPr>
      </w:pPr>
      <w:r w:rsidRPr="004D691D">
        <w:rPr>
          <w:b/>
        </w:rPr>
        <w:t>Slide 30</w:t>
      </w:r>
    </w:p>
    <w:p w:rsidR="00F03C6D" w:rsidRDefault="004D691D" w:rsidP="004D691D">
      <w:pPr>
        <w:pStyle w:val="AHPRAbody"/>
      </w:pPr>
      <w:r>
        <w:t xml:space="preserve">So to conclude this presentation, I hope I’ve made it clear that </w:t>
      </w:r>
      <w:r w:rsidR="00F03C6D">
        <w:t>p</w:t>
      </w:r>
      <w:r>
        <w:t xml:space="preserve">rofessionalism is a multidimensional construct and as such it is challenging to specifically define and </w:t>
      </w:r>
      <w:r w:rsidR="00F03C6D">
        <w:t xml:space="preserve">to specifically </w:t>
      </w:r>
      <w:r>
        <w:t>assess.</w:t>
      </w:r>
    </w:p>
    <w:p w:rsidR="004D691D" w:rsidRDefault="004D691D" w:rsidP="004D691D">
      <w:pPr>
        <w:pStyle w:val="AHPRAbody"/>
      </w:pPr>
      <w:r>
        <w:t xml:space="preserve">I hope you can see how the </w:t>
      </w:r>
      <w:r w:rsidR="00F03C6D">
        <w:t>e</w:t>
      </w:r>
      <w:r>
        <w:t xml:space="preserve">ducation, </w:t>
      </w:r>
      <w:r w:rsidR="00F03C6D">
        <w:t>a</w:t>
      </w:r>
      <w:r>
        <w:t xml:space="preserve">ssessment </w:t>
      </w:r>
      <w:r w:rsidR="00F03C6D">
        <w:t>and r</w:t>
      </w:r>
      <w:r>
        <w:t>emediation of professionalism are all a key part of the Board’s role.</w:t>
      </w:r>
    </w:p>
    <w:p w:rsidR="004D691D" w:rsidRPr="00F03C6D" w:rsidRDefault="004D691D" w:rsidP="00F03C6D">
      <w:pPr>
        <w:pStyle w:val="AHPRAbody"/>
      </w:pPr>
      <w:r w:rsidRPr="00F03C6D">
        <w:t xml:space="preserve">The existing literature suggests that we should be using multiple tools in the assessment of professionalism but </w:t>
      </w:r>
      <w:r w:rsidR="00F03C6D" w:rsidRPr="00F03C6D">
        <w:t xml:space="preserve">it </w:t>
      </w:r>
      <w:r w:rsidRPr="00F03C6D">
        <w:t>recognises that we currently lack assessment tools for all aspects of professionalism.</w:t>
      </w:r>
    </w:p>
    <w:p w:rsidR="004D691D" w:rsidRDefault="004D691D" w:rsidP="004D691D">
      <w:pPr>
        <w:pStyle w:val="AHPRAbody"/>
      </w:pPr>
      <w:r>
        <w:t xml:space="preserve">And there is very limited research in the area of remediation but it appears initial screening, individualised programs, feedback, reflection and role models or mentors are likely to be </w:t>
      </w:r>
      <w:r w:rsidR="00F03C6D">
        <w:t xml:space="preserve">really </w:t>
      </w:r>
      <w:r>
        <w:t>important in ensuring success of remediation programs.</w:t>
      </w:r>
    </w:p>
    <w:p w:rsidR="004D691D" w:rsidRDefault="004D691D" w:rsidP="004D691D">
      <w:pPr>
        <w:pStyle w:val="AHPRAbody"/>
      </w:pPr>
      <w:r>
        <w:t xml:space="preserve">And </w:t>
      </w:r>
      <w:r w:rsidR="00F03C6D">
        <w:t xml:space="preserve">I hope you have now seen </w:t>
      </w:r>
      <w:r>
        <w:t>there is very interesting recent work in evidence</w:t>
      </w:r>
      <w:r w:rsidR="00F03C6D">
        <w:t>-</w:t>
      </w:r>
      <w:r>
        <w:t xml:space="preserve">based regulation </w:t>
      </w:r>
      <w:r w:rsidR="00F03C6D">
        <w:t xml:space="preserve">focussing </w:t>
      </w:r>
      <w:r>
        <w:t xml:space="preserve">on: </w:t>
      </w:r>
    </w:p>
    <w:p w:rsidR="004D691D" w:rsidRDefault="00F03C6D" w:rsidP="004D691D">
      <w:pPr>
        <w:pStyle w:val="AHPRABulletlevel1"/>
      </w:pPr>
      <w:r>
        <w:t>d</w:t>
      </w:r>
      <w:r w:rsidR="004D691D">
        <w:t>etection of practitioners at risk with recognition that existing complaints data probably under-represent</w:t>
      </w:r>
      <w:r>
        <w:t>s</w:t>
      </w:r>
      <w:r w:rsidR="004D691D">
        <w:t xml:space="preserve"> the problem</w:t>
      </w:r>
    </w:p>
    <w:p w:rsidR="004D691D" w:rsidRDefault="00F03C6D" w:rsidP="004D691D">
      <w:pPr>
        <w:pStyle w:val="AHPRABulletlevel1"/>
      </w:pPr>
      <w:r>
        <w:lastRenderedPageBreak/>
        <w:t>there’s w</w:t>
      </w:r>
      <w:r w:rsidR="004D691D">
        <w:t xml:space="preserve">ork done to design remediation programs where effectiveness of these programs into the long term is </w:t>
      </w:r>
      <w:r>
        <w:t xml:space="preserve">being </w:t>
      </w:r>
      <w:r w:rsidR="004D691D">
        <w:t>monitored</w:t>
      </w:r>
      <w:r>
        <w:t>, and</w:t>
      </w:r>
    </w:p>
    <w:p w:rsidR="00F03C6D" w:rsidRDefault="00F03C6D" w:rsidP="004D691D">
      <w:pPr>
        <w:pStyle w:val="AHPRABulletlevel1"/>
      </w:pPr>
      <w:r>
        <w:t xml:space="preserve">I think we can see that there is quite a bit of </w:t>
      </w:r>
      <w:r w:rsidR="004D691D">
        <w:t xml:space="preserve">potential to balance proactive regulation requirements with provision of resources for self-assessment and practice improvement. </w:t>
      </w:r>
    </w:p>
    <w:p w:rsidR="00952B80" w:rsidRDefault="00952B80" w:rsidP="00952B80">
      <w:pPr>
        <w:pStyle w:val="AHPRABulletlevel1"/>
        <w:numPr>
          <w:ilvl w:val="0"/>
          <w:numId w:val="0"/>
        </w:numPr>
        <w:ind w:left="720"/>
      </w:pPr>
    </w:p>
    <w:p w:rsidR="004D691D" w:rsidRDefault="004D691D" w:rsidP="004D691D">
      <w:pPr>
        <w:pStyle w:val="AHPRAbody"/>
      </w:pPr>
      <w:r>
        <w:t>Much of this work has been undertaken in other professions</w:t>
      </w:r>
      <w:r w:rsidR="00F03C6D">
        <w:t xml:space="preserve"> and</w:t>
      </w:r>
      <w:r>
        <w:t xml:space="preserve"> so the next logical step</w:t>
      </w:r>
      <w:r w:rsidR="00F03C6D">
        <w:t xml:space="preserve"> for us</w:t>
      </w:r>
      <w:r>
        <w:t xml:space="preserve"> is to consider what might work for the </w:t>
      </w:r>
      <w:r w:rsidR="00F03C6D">
        <w:t>c</w:t>
      </w:r>
      <w:r>
        <w:t xml:space="preserve">hiropractic profession and most importantly </w:t>
      </w:r>
      <w:r w:rsidR="00F03C6D">
        <w:t xml:space="preserve">what might </w:t>
      </w:r>
      <w:r>
        <w:t>provide benefit for our patients.</w:t>
      </w:r>
    </w:p>
    <w:p w:rsidR="00917055" w:rsidRPr="00917055" w:rsidRDefault="0084088E" w:rsidP="00917055">
      <w:pPr>
        <w:pStyle w:val="AHPRAbody"/>
      </w:pPr>
      <w:r>
        <w:t>Thank you</w:t>
      </w:r>
      <w:r w:rsidR="00917055" w:rsidRPr="00917055">
        <w:t>.</w:t>
      </w:r>
    </w:p>
    <w:p w:rsidR="00917055" w:rsidRPr="00917055" w:rsidRDefault="00917055" w:rsidP="00917055">
      <w:pPr>
        <w:tabs>
          <w:tab w:val="left" w:pos="1590"/>
        </w:tabs>
        <w:rPr>
          <w:b/>
          <w:sz w:val="20"/>
          <w:szCs w:val="20"/>
        </w:rPr>
      </w:pPr>
      <w:r w:rsidRPr="00917055">
        <w:rPr>
          <w:b/>
          <w:sz w:val="20"/>
          <w:szCs w:val="20"/>
        </w:rPr>
        <w:t>-ENDS-</w:t>
      </w:r>
    </w:p>
    <w:p w:rsidR="00917055" w:rsidRPr="00917055" w:rsidRDefault="00917055" w:rsidP="00917055">
      <w:pPr>
        <w:tabs>
          <w:tab w:val="left" w:pos="1590"/>
        </w:tabs>
        <w:rPr>
          <w:sz w:val="20"/>
          <w:szCs w:val="20"/>
        </w:rPr>
      </w:pPr>
    </w:p>
    <w:p w:rsidR="00917055" w:rsidRPr="00917055" w:rsidRDefault="00917055" w:rsidP="00917055">
      <w:pPr>
        <w:tabs>
          <w:tab w:val="left" w:pos="1590"/>
        </w:tabs>
        <w:rPr>
          <w:sz w:val="20"/>
          <w:szCs w:val="20"/>
        </w:rPr>
      </w:pPr>
    </w:p>
    <w:p w:rsidR="00B4754E" w:rsidRPr="00C63C75" w:rsidRDefault="00B4754E" w:rsidP="00C63C75">
      <w:pPr>
        <w:tabs>
          <w:tab w:val="left" w:pos="1590"/>
        </w:tabs>
        <w:rPr>
          <w:sz w:val="20"/>
          <w:szCs w:val="20"/>
        </w:rPr>
      </w:pPr>
    </w:p>
    <w:sectPr w:rsidR="00B4754E" w:rsidRPr="00C63C75" w:rsidSect="004B438E">
      <w:headerReference w:type="default" r:id="rId8"/>
      <w:footerReference w:type="even" r:id="rId9"/>
      <w:footerReference w:type="default" r:id="rId10"/>
      <w:headerReference w:type="first" r:id="rId11"/>
      <w:footerReference w:type="first" r:id="rId12"/>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B2E" w:rsidRDefault="001A6B2E" w:rsidP="00FC2881">
      <w:pPr>
        <w:spacing w:after="0"/>
      </w:pPr>
      <w:r>
        <w:separator/>
      </w:r>
    </w:p>
    <w:p w:rsidR="001A6B2E" w:rsidRDefault="001A6B2E"/>
  </w:endnote>
  <w:endnote w:type="continuationSeparator" w:id="0">
    <w:p w:rsidR="001A6B2E" w:rsidRDefault="001A6B2E" w:rsidP="00FC2881">
      <w:pPr>
        <w:spacing w:after="0"/>
      </w:pPr>
      <w:r>
        <w:continuationSeparator/>
      </w:r>
    </w:p>
    <w:p w:rsidR="001A6B2E" w:rsidRDefault="001A6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2E" w:rsidRDefault="00952B80" w:rsidP="00FC2881">
    <w:pPr>
      <w:pStyle w:val="AHPRAfootnote"/>
      <w:framePr w:wrap="around" w:vAnchor="text" w:hAnchor="margin" w:xAlign="right" w:y="1"/>
    </w:pPr>
    <w:r>
      <w:fldChar w:fldCharType="begin"/>
    </w:r>
    <w:r w:rsidR="001A6B2E">
      <w:instrText xml:space="preserve">PAGE  </w:instrText>
    </w:r>
    <w:r>
      <w:fldChar w:fldCharType="end"/>
    </w:r>
  </w:p>
  <w:p w:rsidR="001A6B2E" w:rsidRDefault="001A6B2E" w:rsidP="00FC2881">
    <w:pPr>
      <w:pStyle w:val="AHPRAfootnote"/>
      <w:ind w:right="360"/>
    </w:pPr>
  </w:p>
  <w:p w:rsidR="001A6B2E" w:rsidRDefault="001A6B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2E" w:rsidRPr="000E7E28" w:rsidRDefault="003F00B6" w:rsidP="000E7E28">
    <w:pPr>
      <w:pStyle w:val="AHPRApagenumber"/>
    </w:pPr>
    <w:sdt>
      <w:sdtPr>
        <w:id w:val="16333165"/>
        <w:docPartObj>
          <w:docPartGallery w:val="Page Numbers (Top of Page)"/>
          <w:docPartUnique/>
        </w:docPartObj>
      </w:sdtPr>
      <w:sdtEndPr/>
      <w:sdtContent>
        <w:r w:rsidR="001A6B2E" w:rsidRPr="000E7E28">
          <w:t xml:space="preserve">Page </w:t>
        </w:r>
        <w:r>
          <w:fldChar w:fldCharType="begin"/>
        </w:r>
        <w:r>
          <w:instrText xml:space="preserve"> PAGE </w:instrText>
        </w:r>
        <w:r>
          <w:fldChar w:fldCharType="separate"/>
        </w:r>
        <w:r>
          <w:rPr>
            <w:noProof/>
          </w:rPr>
          <w:t>2</w:t>
        </w:r>
        <w:r>
          <w:rPr>
            <w:noProof/>
          </w:rPr>
          <w:fldChar w:fldCharType="end"/>
        </w:r>
        <w:r w:rsidR="001A6B2E" w:rsidRPr="000E7E28">
          <w:t xml:space="preserve"> of </w:t>
        </w:r>
        <w:r>
          <w:fldChar w:fldCharType="begin"/>
        </w:r>
        <w:r>
          <w:instrText xml:space="preserve"> NUMPAGES  </w:instrText>
        </w:r>
        <w:r>
          <w:fldChar w:fldCharType="separate"/>
        </w:r>
        <w:r>
          <w:rPr>
            <w:noProof/>
          </w:rPr>
          <w:t>10</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2E" w:rsidRPr="007B51F0" w:rsidRDefault="00952B80" w:rsidP="00741C6A">
    <w:pPr>
      <w:pStyle w:val="Footer"/>
      <w:jc w:val="center"/>
      <w:rPr>
        <w:rFonts w:ascii="Arial" w:hAnsi="Arial" w:cs="Arial"/>
        <w:b/>
        <w:sz w:val="20"/>
      </w:rPr>
    </w:pPr>
    <w:r w:rsidRPr="007B51F0">
      <w:rPr>
        <w:rStyle w:val="Blue"/>
        <w:rFonts w:ascii="Arial" w:hAnsi="Arial" w:cs="Arial"/>
        <w:b/>
        <w:sz w:val="20"/>
      </w:rPr>
      <w:fldChar w:fldCharType="begin"/>
    </w:r>
    <w:r w:rsidR="001A6B2E" w:rsidRPr="007B51F0">
      <w:rPr>
        <w:rStyle w:val="Blue"/>
        <w:rFonts w:ascii="Arial" w:hAnsi="Arial" w:cs="Arial"/>
        <w:b/>
        <w:sz w:val="20"/>
      </w:rPr>
      <w:instrText xml:space="preserve"> DOCPROPERTY  xBoardLine2  </w:instrText>
    </w:r>
    <w:r w:rsidRPr="007B51F0">
      <w:rPr>
        <w:rStyle w:val="Blue"/>
        <w:rFonts w:ascii="Arial" w:hAnsi="Arial" w:cs="Arial"/>
        <w:b/>
        <w:sz w:val="20"/>
      </w:rPr>
      <w:fldChar w:fldCharType="separate"/>
    </w:r>
    <w:r w:rsidR="001A6B2E" w:rsidRPr="007B51F0">
      <w:rPr>
        <w:rStyle w:val="Blue"/>
        <w:rFonts w:ascii="Arial" w:hAnsi="Arial" w:cs="Arial"/>
        <w:b/>
        <w:sz w:val="20"/>
      </w:rPr>
      <w:t>Chiropractic</w:t>
    </w:r>
    <w:r w:rsidRPr="007B51F0">
      <w:rPr>
        <w:rStyle w:val="Blue"/>
        <w:rFonts w:ascii="Arial" w:hAnsi="Arial" w:cs="Arial"/>
        <w:b/>
        <w:sz w:val="20"/>
      </w:rPr>
      <w:fldChar w:fldCharType="end"/>
    </w:r>
    <w:r w:rsidR="001A6B2E" w:rsidRPr="007B51F0">
      <w:rPr>
        <w:rFonts w:ascii="Arial" w:hAnsi="Arial" w:cs="Arial"/>
        <w:b/>
        <w:sz w:val="20"/>
      </w:rPr>
      <w:t xml:space="preserve"> </w:t>
    </w:r>
    <w:r w:rsidRPr="007B51F0">
      <w:rPr>
        <w:rFonts w:ascii="Arial" w:hAnsi="Arial" w:cs="Arial"/>
        <w:b/>
        <w:sz w:val="20"/>
      </w:rPr>
      <w:fldChar w:fldCharType="begin"/>
    </w:r>
    <w:r w:rsidR="001A6B2E" w:rsidRPr="007B51F0">
      <w:rPr>
        <w:rFonts w:ascii="Arial" w:hAnsi="Arial" w:cs="Arial"/>
        <w:b/>
        <w:sz w:val="20"/>
      </w:rPr>
      <w:instrText xml:space="preserve"> DOCPROPERTY  xBoardLine3  </w:instrText>
    </w:r>
    <w:r w:rsidRPr="007B51F0">
      <w:rPr>
        <w:rFonts w:ascii="Arial" w:hAnsi="Arial" w:cs="Arial"/>
        <w:b/>
        <w:sz w:val="20"/>
      </w:rPr>
      <w:fldChar w:fldCharType="separate"/>
    </w:r>
    <w:r w:rsidR="001A6B2E">
      <w:rPr>
        <w:rFonts w:ascii="Arial" w:hAnsi="Arial" w:cs="Arial"/>
        <w:b/>
        <w:sz w:val="20"/>
      </w:rPr>
      <w:t>Board</w:t>
    </w:r>
    <w:r w:rsidR="001A6B2E" w:rsidRPr="007B51F0">
      <w:rPr>
        <w:rFonts w:ascii="Arial" w:hAnsi="Arial" w:cs="Arial"/>
        <w:b/>
        <w:sz w:val="20"/>
      </w:rPr>
      <w:t xml:space="preserve"> of Australia</w:t>
    </w:r>
    <w:r w:rsidRPr="007B51F0">
      <w:rPr>
        <w:rFonts w:ascii="Arial" w:hAnsi="Arial" w:cs="Arial"/>
        <w:b/>
        <w:sz w:val="20"/>
      </w:rPr>
      <w:fldChar w:fldCharType="end"/>
    </w:r>
  </w:p>
  <w:p w:rsidR="001A6B2E" w:rsidRPr="00741C6A" w:rsidRDefault="001A6B2E" w:rsidP="00741C6A">
    <w:pPr>
      <w:pStyle w:val="Footer"/>
      <w:ind w:right="-15"/>
      <w:jc w:val="center"/>
      <w:rPr>
        <w:rFonts w:ascii="Arial" w:hAnsi="Arial" w:cs="Arial"/>
        <w:sz w:val="20"/>
      </w:rPr>
    </w:pPr>
    <w:r w:rsidRPr="007B51F0">
      <w:rPr>
        <w:rFonts w:ascii="Arial" w:hAnsi="Arial" w:cs="Arial"/>
        <w:sz w:val="20"/>
      </w:rPr>
      <w:t xml:space="preserve">G.P.O. Box 9958   </w:t>
    </w:r>
    <w:r w:rsidRPr="007B51F0">
      <w:rPr>
        <w:rFonts w:ascii="Arial" w:hAnsi="Arial" w:cs="Arial"/>
        <w:b/>
        <w:color w:val="007DC3"/>
        <w:sz w:val="20"/>
      </w:rPr>
      <w:t>|</w:t>
    </w:r>
    <w:r w:rsidRPr="007B51F0">
      <w:rPr>
        <w:rFonts w:ascii="Arial" w:hAnsi="Arial" w:cs="Arial"/>
        <w:sz w:val="20"/>
      </w:rPr>
      <w:t xml:space="preserve">   </w:t>
    </w:r>
    <w:r w:rsidR="003F00B6">
      <w:fldChar w:fldCharType="begin"/>
    </w:r>
    <w:r w:rsidR="003F00B6">
      <w:instrText xml:space="preserve"> DOCPROPERTY  xOffice  \* MERGEFORMAT </w:instrText>
    </w:r>
    <w:r w:rsidR="003F00B6">
      <w:fldChar w:fldCharType="separate"/>
    </w:r>
    <w:r w:rsidRPr="007B51F0">
      <w:rPr>
        <w:rFonts w:ascii="Arial" w:hAnsi="Arial" w:cs="Arial"/>
        <w:sz w:val="20"/>
      </w:rPr>
      <w:t>Melbourne VIC 3001</w:t>
    </w:r>
    <w:r w:rsidR="003F00B6">
      <w:rPr>
        <w:rFonts w:ascii="Arial" w:hAnsi="Arial" w:cs="Arial"/>
        <w:sz w:val="20"/>
      </w:rPr>
      <w:fldChar w:fldCharType="end"/>
    </w:r>
    <w:r w:rsidRPr="007B51F0">
      <w:rPr>
        <w:rFonts w:ascii="Arial" w:hAnsi="Arial" w:cs="Arial"/>
        <w:sz w:val="20"/>
      </w:rPr>
      <w:t xml:space="preserve">   </w:t>
    </w:r>
    <w:r w:rsidRPr="007B51F0">
      <w:rPr>
        <w:rFonts w:ascii="Arial" w:hAnsi="Arial" w:cs="Arial"/>
        <w:b/>
        <w:color w:val="007DC3"/>
        <w:sz w:val="20"/>
      </w:rPr>
      <w:t>|</w:t>
    </w:r>
    <w:r w:rsidRPr="007B51F0">
      <w:rPr>
        <w:rFonts w:ascii="Arial" w:hAnsi="Arial" w:cs="Arial"/>
        <w:sz w:val="20"/>
      </w:rPr>
      <w:t xml:space="preserve">   </w:t>
    </w:r>
    <w:r w:rsidR="003F00B6">
      <w:fldChar w:fldCharType="begin"/>
    </w:r>
    <w:r w:rsidR="003F00B6">
      <w:instrText xml:space="preserve"> DOCPROPERTY  xWeb  \* MERGEFORMAT </w:instrText>
    </w:r>
    <w:r w:rsidR="003F00B6">
      <w:fldChar w:fldCharType="separate"/>
    </w:r>
    <w:r w:rsidRPr="007B51F0">
      <w:rPr>
        <w:rFonts w:ascii="Arial" w:hAnsi="Arial" w:cs="Arial"/>
        <w:sz w:val="20"/>
      </w:rPr>
      <w:t>www.chiropractic</w:t>
    </w:r>
    <w:r>
      <w:rPr>
        <w:rFonts w:ascii="Arial" w:hAnsi="Arial" w:cs="Arial"/>
        <w:sz w:val="20"/>
      </w:rPr>
      <w:t>Board</w:t>
    </w:r>
    <w:r w:rsidRPr="007B51F0">
      <w:rPr>
        <w:rFonts w:ascii="Arial" w:hAnsi="Arial" w:cs="Arial"/>
        <w:sz w:val="20"/>
      </w:rPr>
      <w:t>.gov.au</w:t>
    </w:r>
    <w:r w:rsidR="003F00B6">
      <w:rPr>
        <w:rFonts w:ascii="Arial" w:hAnsi="Arial" w:cs="Arial"/>
        <w:sz w:val="20"/>
      </w:rPr>
      <w:fldChar w:fldCharType="end"/>
    </w:r>
    <w:r w:rsidRPr="007B51F0">
      <w:rPr>
        <w:rFonts w:ascii="Arial" w:hAnsi="Arial" w:cs="Arial"/>
        <w:sz w:val="20"/>
      </w:rPr>
      <w:t xml:space="preserve">   </w:t>
    </w:r>
    <w:r w:rsidRPr="007B51F0">
      <w:rPr>
        <w:rFonts w:ascii="Arial" w:hAnsi="Arial" w:cs="Arial"/>
        <w:b/>
        <w:color w:val="007DC3"/>
        <w:sz w:val="20"/>
      </w:rPr>
      <w:t>|</w:t>
    </w:r>
    <w:r w:rsidRPr="007B51F0">
      <w:rPr>
        <w:rFonts w:ascii="Arial" w:hAnsi="Arial" w:cs="Arial"/>
        <w:sz w:val="20"/>
      </w:rPr>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B2E" w:rsidRDefault="001A6B2E" w:rsidP="000E7E28">
      <w:pPr>
        <w:spacing w:after="0"/>
      </w:pPr>
      <w:r>
        <w:separator/>
      </w:r>
    </w:p>
  </w:footnote>
  <w:footnote w:type="continuationSeparator" w:id="0">
    <w:p w:rsidR="001A6B2E" w:rsidRDefault="001A6B2E" w:rsidP="00FC2881">
      <w:pPr>
        <w:spacing w:after="0"/>
      </w:pPr>
      <w:r>
        <w:continuationSeparator/>
      </w:r>
    </w:p>
    <w:p w:rsidR="001A6B2E" w:rsidRDefault="001A6B2E"/>
  </w:footnote>
  <w:footnote w:type="continuationNotice" w:id="1">
    <w:p w:rsidR="001A6B2E" w:rsidRDefault="001A6B2E">
      <w:pPr>
        <w:spacing w:after="0"/>
      </w:pPr>
    </w:p>
  </w:footnote>
  <w:footnote w:id="2">
    <w:p w:rsidR="001A6B2E" w:rsidRPr="00E76A15" w:rsidRDefault="001A6B2E">
      <w:pPr>
        <w:pStyle w:val="FootnoteText"/>
        <w:rPr>
          <w:sz w:val="18"/>
          <w:szCs w:val="18"/>
        </w:rPr>
      </w:pPr>
      <w:r w:rsidRPr="00E76A15">
        <w:rPr>
          <w:rStyle w:val="FootnoteReference"/>
          <w:szCs w:val="18"/>
        </w:rPr>
        <w:footnoteRef/>
      </w:r>
      <w:r w:rsidR="00952B80" w:rsidRPr="00952B80">
        <w:rPr>
          <w:sz w:val="18"/>
          <w:szCs w:val="18"/>
        </w:rPr>
        <w:t xml:space="preserve"> Health Practitioner Regulation National Law, as in force in each state and territory (the National Law).</w:t>
      </w:r>
    </w:p>
  </w:footnote>
  <w:footnote w:id="3">
    <w:p w:rsidR="001A6B2E" w:rsidRPr="005535F0" w:rsidRDefault="001A6B2E">
      <w:pPr>
        <w:pStyle w:val="FootnoteText"/>
        <w:rPr>
          <w:sz w:val="18"/>
          <w:szCs w:val="18"/>
        </w:rPr>
      </w:pPr>
      <w:r w:rsidRPr="005535F0">
        <w:rPr>
          <w:rStyle w:val="FootnoteReference"/>
          <w:szCs w:val="18"/>
        </w:rPr>
        <w:footnoteRef/>
      </w:r>
      <w:r w:rsidR="00952B80" w:rsidRPr="00952B80">
        <w:rPr>
          <w:sz w:val="18"/>
          <w:szCs w:val="18"/>
        </w:rPr>
        <w:t xml:space="preserve"> Australian Health Practitioner Regulation Agency (AHPRA).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2E" w:rsidRPr="00315933" w:rsidRDefault="001A6B2E" w:rsidP="00D638E0">
    <w:pPr>
      <w:ind w:left="-1134" w:right="-567"/>
      <w:jc w:val="right"/>
    </w:pPr>
  </w:p>
  <w:p w:rsidR="001A6B2E" w:rsidRDefault="001A6B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2E" w:rsidRDefault="001A6B2E" w:rsidP="00E844A0"/>
  <w:p w:rsidR="001A6B2E" w:rsidRDefault="001A6B2E" w:rsidP="00E844A0">
    <w:r>
      <w:rPr>
        <w:noProof/>
        <w:lang w:eastAsia="en-AU"/>
      </w:rPr>
      <w:drawing>
        <wp:anchor distT="0" distB="0" distL="114300" distR="114300" simplePos="0" relativeHeight="251659264" behindDoc="0" locked="0" layoutInCell="1" allowOverlap="1">
          <wp:simplePos x="0" y="0"/>
          <wp:positionH relativeFrom="margin">
            <wp:posOffset>4999355</wp:posOffset>
          </wp:positionH>
          <wp:positionV relativeFrom="margin">
            <wp:posOffset>-1498600</wp:posOffset>
          </wp:positionV>
          <wp:extent cx="1381125" cy="1454150"/>
          <wp:effectExtent l="19050" t="0" r="9525" b="0"/>
          <wp:wrapSquare wrapText="bothSides"/>
          <wp:docPr id="1" name="Picture 1" descr="Australian Health Practitioner Regulation Agency and Chiropractic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ChiropracticBoardofAustralia_SPOT.jpg"/>
                  <pic:cNvPicPr>
                    <a:picLocks noChangeAspect="1" noChangeArrowheads="1"/>
                  </pic:cNvPicPr>
                </pic:nvPicPr>
                <pic:blipFill>
                  <a:blip r:embed="rId1"/>
                  <a:srcRect/>
                  <a:stretch>
                    <a:fillRect/>
                  </a:stretch>
                </pic:blipFill>
                <pic:spPr bwMode="auto">
                  <a:xfrm>
                    <a:off x="0" y="0"/>
                    <a:ext cx="1381125" cy="1454150"/>
                  </a:xfrm>
                  <a:prstGeom prst="rect">
                    <a:avLst/>
                  </a:prstGeom>
                  <a:noFill/>
                </pic:spPr>
              </pic:pic>
            </a:graphicData>
          </a:graphic>
        </wp:anchor>
      </w:drawing>
    </w:r>
  </w:p>
  <w:p w:rsidR="001A6B2E" w:rsidRDefault="001A6B2E" w:rsidP="00E844A0"/>
  <w:p w:rsidR="001A6B2E" w:rsidRDefault="001A6B2E" w:rsidP="00E844A0"/>
  <w:p w:rsidR="001A6B2E" w:rsidRDefault="001A6B2E" w:rsidP="00E844A0"/>
  <w:p w:rsidR="001A6B2E" w:rsidRDefault="001A6B2E"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52D19FF"/>
    <w:multiLevelType w:val="multilevel"/>
    <w:tmpl w:val="BE20683A"/>
    <w:numStyleLink w:val="AHPRANumberedheadinglist"/>
  </w:abstractNum>
  <w:abstractNum w:abstractNumId="6"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7" w15:restartNumberingAfterBreak="0">
    <w:nsid w:val="2822578D"/>
    <w:multiLevelType w:val="multilevel"/>
    <w:tmpl w:val="BE20683A"/>
    <w:numStyleLink w:val="AHPRANumberedheadinglist"/>
  </w:abstractNum>
  <w:abstractNum w:abstractNumId="8"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92FC6"/>
    <w:multiLevelType w:val="hybridMultilevel"/>
    <w:tmpl w:val="5096FF9A"/>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4433A"/>
    <w:multiLevelType w:val="multilevel"/>
    <w:tmpl w:val="C4183F12"/>
    <w:numStyleLink w:val="AHPRANumberedlist"/>
  </w:abstractNum>
  <w:abstractNum w:abstractNumId="11" w15:restartNumberingAfterBreak="0">
    <w:nsid w:val="5BCE344F"/>
    <w:multiLevelType w:val="hybridMultilevel"/>
    <w:tmpl w:val="DB38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E154B0"/>
    <w:multiLevelType w:val="multilevel"/>
    <w:tmpl w:val="C4183F12"/>
    <w:numStyleLink w:val="AHPRANumberedlist"/>
  </w:abstractNum>
  <w:abstractNum w:abstractNumId="1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31660"/>
    <w:multiLevelType w:val="multilevel"/>
    <w:tmpl w:val="C4183F12"/>
    <w:numStyleLink w:val="AHPRANumberedlist"/>
  </w:abstractNum>
  <w:num w:numId="1">
    <w:abstractNumId w:val="12"/>
  </w:num>
  <w:num w:numId="2">
    <w:abstractNumId w:val="9"/>
  </w:num>
  <w:num w:numId="3">
    <w:abstractNumId w:val="2"/>
  </w:num>
  <w:num w:numId="4">
    <w:abstractNumId w:val="4"/>
  </w:num>
  <w:num w:numId="5">
    <w:abstractNumId w:val="5"/>
  </w:num>
  <w:num w:numId="6">
    <w:abstractNumId w:val="7"/>
  </w:num>
  <w:num w:numId="7">
    <w:abstractNumId w:val="1"/>
  </w:num>
  <w:num w:numId="8">
    <w:abstractNumId w:val="8"/>
  </w:num>
  <w:num w:numId="9">
    <w:abstractNumId w:val="14"/>
  </w:num>
  <w:num w:numId="10">
    <w:abstractNumId w:val="10"/>
  </w:num>
  <w:num w:numId="11">
    <w:abstractNumId w:val="3"/>
  </w:num>
  <w:num w:numId="12">
    <w:abstractNumId w:val="13"/>
  </w:num>
  <w:num w:numId="13">
    <w:abstractNumId w:val="15"/>
  </w:num>
  <w:num w:numId="14">
    <w:abstractNumId w:val="15"/>
  </w:num>
  <w:num w:numId="15">
    <w:abstractNumId w:val="0"/>
  </w:num>
  <w:num w:numId="16">
    <w:abstractNumId w:val="9"/>
  </w:num>
  <w:num w:numId="17">
    <w:abstractNumId w:val="9"/>
  </w:num>
  <w:num w:numId="18">
    <w:abstractNumId w:val="9"/>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 w:id="1"/>
  </w:footnotePr>
  <w:endnotePr>
    <w:endnote w:id="-1"/>
    <w:endnote w:id="0"/>
  </w:endnotePr>
  <w:compat>
    <w:compatSetting w:name="compatibilityMode" w:uri="http://schemas.microsoft.com/office/word" w:val="12"/>
  </w:compat>
  <w:rsids>
    <w:rsidRoot w:val="00C51679"/>
    <w:rsid w:val="00000033"/>
    <w:rsid w:val="00006922"/>
    <w:rsid w:val="000334D7"/>
    <w:rsid w:val="00057876"/>
    <w:rsid w:val="00071439"/>
    <w:rsid w:val="00073FCC"/>
    <w:rsid w:val="000945FB"/>
    <w:rsid w:val="000A013F"/>
    <w:rsid w:val="000A1C7B"/>
    <w:rsid w:val="000A6BF7"/>
    <w:rsid w:val="000B2475"/>
    <w:rsid w:val="000D074E"/>
    <w:rsid w:val="000E7E28"/>
    <w:rsid w:val="000F5D90"/>
    <w:rsid w:val="0010139F"/>
    <w:rsid w:val="00122D5E"/>
    <w:rsid w:val="00134DBB"/>
    <w:rsid w:val="00144DEF"/>
    <w:rsid w:val="001506FE"/>
    <w:rsid w:val="00196F14"/>
    <w:rsid w:val="001A6B2E"/>
    <w:rsid w:val="001B106D"/>
    <w:rsid w:val="001C425C"/>
    <w:rsid w:val="001E1E31"/>
    <w:rsid w:val="001E2849"/>
    <w:rsid w:val="001E4A94"/>
    <w:rsid w:val="001E5621"/>
    <w:rsid w:val="00220A3B"/>
    <w:rsid w:val="00224708"/>
    <w:rsid w:val="00271471"/>
    <w:rsid w:val="0028013F"/>
    <w:rsid w:val="00295B44"/>
    <w:rsid w:val="002B2D48"/>
    <w:rsid w:val="002C08FB"/>
    <w:rsid w:val="002C34EA"/>
    <w:rsid w:val="002F6984"/>
    <w:rsid w:val="00303BE1"/>
    <w:rsid w:val="00305AFC"/>
    <w:rsid w:val="003354E4"/>
    <w:rsid w:val="003546E8"/>
    <w:rsid w:val="00393516"/>
    <w:rsid w:val="003A3FFB"/>
    <w:rsid w:val="003D6DBD"/>
    <w:rsid w:val="003E00B5"/>
    <w:rsid w:val="003E3268"/>
    <w:rsid w:val="003F00B6"/>
    <w:rsid w:val="003F2F06"/>
    <w:rsid w:val="00405C0A"/>
    <w:rsid w:val="00414F2C"/>
    <w:rsid w:val="00450B34"/>
    <w:rsid w:val="004606A7"/>
    <w:rsid w:val="004A5E5D"/>
    <w:rsid w:val="004B438E"/>
    <w:rsid w:val="004B71D2"/>
    <w:rsid w:val="004B747B"/>
    <w:rsid w:val="004D691D"/>
    <w:rsid w:val="004D7537"/>
    <w:rsid w:val="004F5C05"/>
    <w:rsid w:val="00516EF2"/>
    <w:rsid w:val="0053749F"/>
    <w:rsid w:val="00546B56"/>
    <w:rsid w:val="005535F0"/>
    <w:rsid w:val="00553A4C"/>
    <w:rsid w:val="00554335"/>
    <w:rsid w:val="005565CE"/>
    <w:rsid w:val="005708AE"/>
    <w:rsid w:val="005A0FA9"/>
    <w:rsid w:val="005A605E"/>
    <w:rsid w:val="005B18FF"/>
    <w:rsid w:val="005C4117"/>
    <w:rsid w:val="005C5932"/>
    <w:rsid w:val="005C6817"/>
    <w:rsid w:val="005D6328"/>
    <w:rsid w:val="00616043"/>
    <w:rsid w:val="00640B2C"/>
    <w:rsid w:val="00667CAD"/>
    <w:rsid w:val="00670F48"/>
    <w:rsid w:val="00672A98"/>
    <w:rsid w:val="00681D5E"/>
    <w:rsid w:val="00693B1C"/>
    <w:rsid w:val="006C0257"/>
    <w:rsid w:val="006C0E29"/>
    <w:rsid w:val="006D30FE"/>
    <w:rsid w:val="006D3757"/>
    <w:rsid w:val="006D45FD"/>
    <w:rsid w:val="006D6D35"/>
    <w:rsid w:val="006E1866"/>
    <w:rsid w:val="006F585B"/>
    <w:rsid w:val="006F7348"/>
    <w:rsid w:val="006F796D"/>
    <w:rsid w:val="0070155F"/>
    <w:rsid w:val="007372A4"/>
    <w:rsid w:val="00741B04"/>
    <w:rsid w:val="00741C6A"/>
    <w:rsid w:val="00756ABF"/>
    <w:rsid w:val="0076115C"/>
    <w:rsid w:val="007664F3"/>
    <w:rsid w:val="007913AB"/>
    <w:rsid w:val="0079197C"/>
    <w:rsid w:val="007A35B9"/>
    <w:rsid w:val="007B77D6"/>
    <w:rsid w:val="007C0B6E"/>
    <w:rsid w:val="007D4836"/>
    <w:rsid w:val="007E2C84"/>
    <w:rsid w:val="007E3545"/>
    <w:rsid w:val="007F0095"/>
    <w:rsid w:val="00803C24"/>
    <w:rsid w:val="008338F7"/>
    <w:rsid w:val="00836397"/>
    <w:rsid w:val="0084088E"/>
    <w:rsid w:val="00845054"/>
    <w:rsid w:val="00852D1C"/>
    <w:rsid w:val="00856147"/>
    <w:rsid w:val="00860F40"/>
    <w:rsid w:val="008615C9"/>
    <w:rsid w:val="00864020"/>
    <w:rsid w:val="008979D5"/>
    <w:rsid w:val="008A4C3B"/>
    <w:rsid w:val="008B2AD7"/>
    <w:rsid w:val="008C6E1E"/>
    <w:rsid w:val="008D6B7E"/>
    <w:rsid w:val="008D7845"/>
    <w:rsid w:val="008E47B3"/>
    <w:rsid w:val="00901ADC"/>
    <w:rsid w:val="009031EA"/>
    <w:rsid w:val="00907072"/>
    <w:rsid w:val="00917055"/>
    <w:rsid w:val="00923B23"/>
    <w:rsid w:val="00937ED0"/>
    <w:rsid w:val="00952797"/>
    <w:rsid w:val="00952B80"/>
    <w:rsid w:val="00952C9A"/>
    <w:rsid w:val="009777D3"/>
    <w:rsid w:val="009859E6"/>
    <w:rsid w:val="00996EDB"/>
    <w:rsid w:val="009A0A5D"/>
    <w:rsid w:val="009C3A5C"/>
    <w:rsid w:val="009C6933"/>
    <w:rsid w:val="00A04C7A"/>
    <w:rsid w:val="00A058E5"/>
    <w:rsid w:val="00A10C1A"/>
    <w:rsid w:val="00A2072E"/>
    <w:rsid w:val="00A237BB"/>
    <w:rsid w:val="00A276D5"/>
    <w:rsid w:val="00A458ED"/>
    <w:rsid w:val="00A509AB"/>
    <w:rsid w:val="00A71DA7"/>
    <w:rsid w:val="00A82078"/>
    <w:rsid w:val="00A838C8"/>
    <w:rsid w:val="00A91C42"/>
    <w:rsid w:val="00A9516B"/>
    <w:rsid w:val="00A9780A"/>
    <w:rsid w:val="00AA00AF"/>
    <w:rsid w:val="00AA2FC9"/>
    <w:rsid w:val="00AB283D"/>
    <w:rsid w:val="00AD312E"/>
    <w:rsid w:val="00AE2690"/>
    <w:rsid w:val="00AE3EAF"/>
    <w:rsid w:val="00B024B0"/>
    <w:rsid w:val="00B34EDA"/>
    <w:rsid w:val="00B37D48"/>
    <w:rsid w:val="00B4754E"/>
    <w:rsid w:val="00B51748"/>
    <w:rsid w:val="00B57198"/>
    <w:rsid w:val="00B57AFD"/>
    <w:rsid w:val="00B85023"/>
    <w:rsid w:val="00BA2456"/>
    <w:rsid w:val="00BA469B"/>
    <w:rsid w:val="00BB4A5B"/>
    <w:rsid w:val="00BF2534"/>
    <w:rsid w:val="00BF79DC"/>
    <w:rsid w:val="00C35DE1"/>
    <w:rsid w:val="00C3795C"/>
    <w:rsid w:val="00C51679"/>
    <w:rsid w:val="00C524AA"/>
    <w:rsid w:val="00C54689"/>
    <w:rsid w:val="00C60EAD"/>
    <w:rsid w:val="00C63C75"/>
    <w:rsid w:val="00C81B3A"/>
    <w:rsid w:val="00CB6C08"/>
    <w:rsid w:val="00CD0DCA"/>
    <w:rsid w:val="00CF0CEA"/>
    <w:rsid w:val="00D12F61"/>
    <w:rsid w:val="00D201C6"/>
    <w:rsid w:val="00D33F69"/>
    <w:rsid w:val="00D638E0"/>
    <w:rsid w:val="00D716BA"/>
    <w:rsid w:val="00D8404D"/>
    <w:rsid w:val="00D849FA"/>
    <w:rsid w:val="00D87C12"/>
    <w:rsid w:val="00DC2952"/>
    <w:rsid w:val="00DF1AB7"/>
    <w:rsid w:val="00E07C02"/>
    <w:rsid w:val="00E12B06"/>
    <w:rsid w:val="00E15BF6"/>
    <w:rsid w:val="00E54005"/>
    <w:rsid w:val="00E71CB9"/>
    <w:rsid w:val="00E73698"/>
    <w:rsid w:val="00E76A15"/>
    <w:rsid w:val="00E77E23"/>
    <w:rsid w:val="00E8251C"/>
    <w:rsid w:val="00E844A0"/>
    <w:rsid w:val="00E90DE1"/>
    <w:rsid w:val="00F03C6D"/>
    <w:rsid w:val="00F13ED2"/>
    <w:rsid w:val="00F27ACB"/>
    <w:rsid w:val="00F3616F"/>
    <w:rsid w:val="00F6618F"/>
    <w:rsid w:val="00F70DD5"/>
    <w:rsid w:val="00F73165"/>
    <w:rsid w:val="00F847F6"/>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rules v:ext="edit">
        <o:r id="V:Rule2" type="connector" idref="#AutoShape 3"/>
      </o:rules>
    </o:shapelayout>
  </w:shapeDefaults>
  <w:decimalSymbol w:val="."/>
  <w:listSeparator w:val=","/>
  <w15:docId w15:val="{E17AE1DE-6FC9-4B65-9FC2-97A4218C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unhideWhenUsed/>
    <w:rsid w:val="00741C6A"/>
    <w:pPr>
      <w:tabs>
        <w:tab w:val="center" w:pos="4680"/>
        <w:tab w:val="right" w:pos="9360"/>
      </w:tabs>
      <w:spacing w:after="0"/>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741C6A"/>
    <w:rPr>
      <w:rFonts w:asciiTheme="minorHAnsi" w:eastAsiaTheme="minorHAnsi" w:hAnsiTheme="minorHAnsi" w:cstheme="minorBidi"/>
      <w:sz w:val="22"/>
      <w:szCs w:val="22"/>
    </w:rPr>
  </w:style>
  <w:style w:type="character" w:customStyle="1" w:styleId="Blue">
    <w:name w:val="Blue"/>
    <w:basedOn w:val="DefaultParagraphFont"/>
    <w:uiPriority w:val="9"/>
    <w:semiHidden/>
    <w:qFormat/>
    <w:rsid w:val="00741C6A"/>
    <w:rPr>
      <w:noProof/>
      <w:color w:val="007DC3"/>
      <w:lang w:val="en-AU"/>
    </w:rPr>
  </w:style>
  <w:style w:type="character" w:styleId="CommentReference">
    <w:name w:val="annotation reference"/>
    <w:basedOn w:val="DefaultParagraphFont"/>
    <w:uiPriority w:val="1"/>
    <w:semiHidden/>
    <w:unhideWhenUsed/>
    <w:rsid w:val="00B57AFD"/>
    <w:rPr>
      <w:sz w:val="16"/>
      <w:szCs w:val="16"/>
    </w:rPr>
  </w:style>
  <w:style w:type="paragraph" w:styleId="CommentText">
    <w:name w:val="annotation text"/>
    <w:basedOn w:val="Normal"/>
    <w:link w:val="CommentTextChar"/>
    <w:uiPriority w:val="1"/>
    <w:semiHidden/>
    <w:unhideWhenUsed/>
    <w:rsid w:val="00B57AFD"/>
    <w:rPr>
      <w:sz w:val="20"/>
      <w:szCs w:val="20"/>
    </w:rPr>
  </w:style>
  <w:style w:type="character" w:customStyle="1" w:styleId="CommentTextChar">
    <w:name w:val="Comment Text Char"/>
    <w:basedOn w:val="DefaultParagraphFont"/>
    <w:link w:val="CommentText"/>
    <w:uiPriority w:val="1"/>
    <w:semiHidden/>
    <w:rsid w:val="00B57AFD"/>
    <w:rPr>
      <w:lang w:val="en-AU"/>
    </w:rPr>
  </w:style>
  <w:style w:type="paragraph" w:styleId="CommentSubject">
    <w:name w:val="annotation subject"/>
    <w:basedOn w:val="CommentText"/>
    <w:next w:val="CommentText"/>
    <w:link w:val="CommentSubjectChar"/>
    <w:uiPriority w:val="1"/>
    <w:semiHidden/>
    <w:unhideWhenUsed/>
    <w:rsid w:val="00B57AFD"/>
    <w:rPr>
      <w:b/>
      <w:bCs/>
    </w:rPr>
  </w:style>
  <w:style w:type="character" w:customStyle="1" w:styleId="CommentSubjectChar">
    <w:name w:val="Comment Subject Char"/>
    <w:basedOn w:val="CommentTextChar"/>
    <w:link w:val="CommentSubject"/>
    <w:uiPriority w:val="1"/>
    <w:semiHidden/>
    <w:rsid w:val="00B57AFD"/>
    <w:rPr>
      <w:b/>
      <w:bCs/>
      <w:lang w:val="en-AU"/>
    </w:rPr>
  </w:style>
  <w:style w:type="numbering" w:customStyle="1" w:styleId="AHPRABullets">
    <w:name w:val="AHPRA Bullets"/>
    <w:uiPriority w:val="99"/>
    <w:rsid w:val="00A276D5"/>
    <w:pPr>
      <w:numPr>
        <w:numId w:val="15"/>
      </w:numPr>
    </w:pPr>
  </w:style>
  <w:style w:type="paragraph" w:customStyle="1" w:styleId="BodyTextBullets">
    <w:name w:val="Body Text Bullets"/>
    <w:uiPriority w:val="1"/>
    <w:qFormat/>
    <w:rsid w:val="00A276D5"/>
    <w:pPr>
      <w:numPr>
        <w:numId w:val="15"/>
      </w:numPr>
      <w:spacing w:after="120"/>
    </w:pPr>
    <w:rPr>
      <w:rFonts w:eastAsia="Times New Roman" w:cs="Arial"/>
      <w:noProof/>
      <w:szCs w:val="24"/>
      <w:lang w:val="en-AU" w:eastAsia="en-AU"/>
    </w:rPr>
  </w:style>
  <w:style w:type="paragraph" w:styleId="ListNumber">
    <w:name w:val="List Number"/>
    <w:uiPriority w:val="1"/>
    <w:rsid w:val="00073FCC"/>
    <w:pPr>
      <w:numPr>
        <w:numId w:val="19"/>
      </w:numPr>
    </w:pPr>
    <w:rPr>
      <w:rFonts w:eastAsia="Times New Roman" w:cs="Arial"/>
      <w:noProof/>
      <w:szCs w:val="24"/>
      <w:lang w:val="en-AU" w:eastAsia="en-AU"/>
    </w:rPr>
  </w:style>
  <w:style w:type="paragraph" w:styleId="Revision">
    <w:name w:val="Revision"/>
    <w:hidden/>
    <w:semiHidden/>
    <w:rsid w:val="004B71D2"/>
    <w:rPr>
      <w:sz w:val="24"/>
      <w:szCs w:val="24"/>
      <w:lang w:val="en-AU"/>
    </w:rPr>
  </w:style>
  <w:style w:type="paragraph" w:styleId="ListParagraph">
    <w:name w:val="List Paragraph"/>
    <w:basedOn w:val="Normal"/>
    <w:uiPriority w:val="1"/>
    <w:semiHidden/>
    <w:unhideWhenUsed/>
    <w:rsid w:val="008E4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llon-smith\AppData\Local\Microsoft\Windows\Temporary%20Internet%20Files\Content.IE5\1OC8NPMV\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8A4EF-5C37-4CA7-A935-D7C74106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1</TotalTime>
  <Pages>10</Pages>
  <Words>4094</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Transcript: Health practitioner regulation: Learn how you’re protected</vt:lpstr>
    </vt:vector>
  </TitlesOfParts>
  <Company>Johanna Villani Design</Company>
  <LinksUpToDate>false</LinksUpToDate>
  <CharactersWithSpaces>27382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Professionalism in a regulatory context: Transcript - 21 February 2017</dc:title>
  <dc:subject>Transcript</dc:subject>
  <dc:creator>AHPRA</dc:creator>
  <cp:lastModifiedBy>Sheryl Kamath</cp:lastModifiedBy>
  <cp:revision>2</cp:revision>
  <cp:lastPrinted>2012-02-10T00:45:00Z</cp:lastPrinted>
  <dcterms:created xsi:type="dcterms:W3CDTF">2018-01-03T04:32:00Z</dcterms:created>
  <dcterms:modified xsi:type="dcterms:W3CDTF">2018-01-03T04:32:00Z</dcterms:modified>
</cp:coreProperties>
</file>