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DE645" w14:textId="49313949" w:rsidR="003E708F" w:rsidRPr="00677889" w:rsidRDefault="00C108FC" w:rsidP="00E47738">
      <w:pPr>
        <w:pStyle w:val="BodyText"/>
        <w:rPr>
          <w:b/>
          <w:color w:val="375992" w:themeColor="accent5" w:themeShade="BF"/>
          <w:sz w:val="56"/>
          <w:szCs w:val="60"/>
        </w:rPr>
      </w:pPr>
      <w:bookmarkStart w:id="0" w:name="_Toc432153151"/>
      <w:bookmarkStart w:id="1" w:name="_MacBuGuideStaticData_5506H"/>
      <w:bookmarkStart w:id="2" w:name="_MacBuGuideStaticData_2925H"/>
      <w:bookmarkStart w:id="3" w:name="_MacBuGuideStaticData_10168V"/>
      <w:bookmarkStart w:id="4" w:name="_MacBuGuideStaticData_4526H"/>
      <w:bookmarkStart w:id="5" w:name="_GoBack"/>
      <w:bookmarkEnd w:id="5"/>
      <w:r w:rsidRPr="00677889">
        <w:rPr>
          <w:b/>
          <w:color w:val="375992" w:themeColor="accent5" w:themeShade="BF"/>
          <w:sz w:val="56"/>
          <w:szCs w:val="60"/>
        </w:rPr>
        <w:t xml:space="preserve">Accreditation </w:t>
      </w:r>
      <w:r w:rsidR="00CB5913" w:rsidRPr="00677889">
        <w:rPr>
          <w:b/>
          <w:color w:val="375992" w:themeColor="accent5" w:themeShade="BF"/>
          <w:sz w:val="56"/>
          <w:szCs w:val="60"/>
        </w:rPr>
        <w:t>Standards for C</w:t>
      </w:r>
      <w:r w:rsidR="003E708F" w:rsidRPr="00677889">
        <w:rPr>
          <w:b/>
          <w:color w:val="375992" w:themeColor="accent5" w:themeShade="BF"/>
          <w:sz w:val="56"/>
          <w:szCs w:val="60"/>
        </w:rPr>
        <w:t xml:space="preserve">hiropractic </w:t>
      </w:r>
      <w:r w:rsidR="00CB5913" w:rsidRPr="00677889">
        <w:rPr>
          <w:b/>
          <w:color w:val="375992" w:themeColor="accent5" w:themeShade="BF"/>
          <w:sz w:val="56"/>
          <w:szCs w:val="60"/>
        </w:rPr>
        <w:t>P</w:t>
      </w:r>
      <w:r w:rsidR="003E708F" w:rsidRPr="00677889">
        <w:rPr>
          <w:b/>
          <w:color w:val="375992" w:themeColor="accent5" w:themeShade="BF"/>
          <w:sz w:val="56"/>
          <w:szCs w:val="60"/>
        </w:rPr>
        <w:t xml:space="preserve">rograms </w:t>
      </w:r>
    </w:p>
    <w:p w14:paraId="1FD7915A" w14:textId="77777777" w:rsidR="003E708F" w:rsidRPr="00677889" w:rsidRDefault="00A55BB0" w:rsidP="003E708F">
      <w:pPr>
        <w:pStyle w:val="BodyText"/>
        <w:rPr>
          <w:b/>
          <w:color w:val="375992" w:themeColor="accent5" w:themeShade="BF"/>
          <w:sz w:val="36"/>
          <w:szCs w:val="60"/>
        </w:rPr>
      </w:pPr>
      <w:r w:rsidRPr="00677889">
        <w:rPr>
          <w:b/>
          <w:color w:val="375992" w:themeColor="accent5" w:themeShade="BF"/>
          <w:sz w:val="36"/>
          <w:szCs w:val="60"/>
        </w:rPr>
        <w:t xml:space="preserve">and </w:t>
      </w:r>
    </w:p>
    <w:p w14:paraId="2BEFEA96" w14:textId="29A5BA81" w:rsidR="00214C4F" w:rsidRPr="00677889" w:rsidRDefault="00A55BB0" w:rsidP="00E47738">
      <w:pPr>
        <w:pStyle w:val="BodyText"/>
        <w:rPr>
          <w:b/>
          <w:color w:val="375992" w:themeColor="accent5" w:themeShade="BF"/>
          <w:sz w:val="56"/>
          <w:szCs w:val="60"/>
        </w:rPr>
      </w:pPr>
      <w:r w:rsidRPr="00677889">
        <w:rPr>
          <w:b/>
          <w:color w:val="375992" w:themeColor="accent5" w:themeShade="BF"/>
          <w:sz w:val="56"/>
          <w:szCs w:val="60"/>
        </w:rPr>
        <w:t>Competency Standards</w:t>
      </w:r>
      <w:bookmarkEnd w:id="0"/>
      <w:r w:rsidR="00CB5913" w:rsidRPr="00677889">
        <w:rPr>
          <w:b/>
          <w:color w:val="375992" w:themeColor="accent5" w:themeShade="BF"/>
          <w:sz w:val="56"/>
          <w:szCs w:val="60"/>
        </w:rPr>
        <w:t xml:space="preserve"> for Graduating C</w:t>
      </w:r>
      <w:r w:rsidR="003E708F" w:rsidRPr="00677889">
        <w:rPr>
          <w:b/>
          <w:color w:val="375992" w:themeColor="accent5" w:themeShade="BF"/>
          <w:sz w:val="56"/>
          <w:szCs w:val="60"/>
        </w:rPr>
        <w:t xml:space="preserve">hiropractors </w:t>
      </w:r>
    </w:p>
    <w:p w14:paraId="2E073B82" w14:textId="77777777" w:rsidR="00833662" w:rsidRPr="00677889" w:rsidRDefault="00833662" w:rsidP="00E47738">
      <w:pPr>
        <w:pStyle w:val="BodyText"/>
        <w:rPr>
          <w:b/>
          <w:i/>
          <w:sz w:val="28"/>
          <w:szCs w:val="28"/>
        </w:rPr>
      </w:pPr>
    </w:p>
    <w:p w14:paraId="6682BAD9" w14:textId="77777777" w:rsidR="00833662" w:rsidRPr="00677889" w:rsidRDefault="00833662" w:rsidP="00214C4F"/>
    <w:p w14:paraId="404701C1" w14:textId="77777777" w:rsidR="00833662" w:rsidRPr="00677889" w:rsidRDefault="00833662" w:rsidP="00214C4F"/>
    <w:p w14:paraId="7F1B2AAB" w14:textId="77777777" w:rsidR="00833662" w:rsidRPr="00677889" w:rsidRDefault="00251636" w:rsidP="00214C4F">
      <w:r w:rsidRPr="00677889">
        <w:rPr>
          <w:noProof/>
          <w:lang w:eastAsia="en-AU"/>
        </w:rPr>
        <mc:AlternateContent>
          <mc:Choice Requires="wps">
            <w:drawing>
              <wp:anchor distT="0" distB="0" distL="114300" distR="114300" simplePos="0" relativeHeight="251656192" behindDoc="0" locked="0" layoutInCell="1" allowOverlap="1" wp14:anchorId="0C491FAE" wp14:editId="6C51021E">
                <wp:simplePos x="0" y="0"/>
                <wp:positionH relativeFrom="column">
                  <wp:posOffset>-114300</wp:posOffset>
                </wp:positionH>
                <wp:positionV relativeFrom="margin">
                  <wp:posOffset>5475605</wp:posOffset>
                </wp:positionV>
                <wp:extent cx="3314700" cy="521970"/>
                <wp:effectExtent l="0" t="0" r="0" b="11430"/>
                <wp:wrapSquare wrapText="bothSides"/>
                <wp:docPr id="7" name="Text Box 7"/>
                <wp:cNvGraphicFramePr/>
                <a:graphic xmlns:a="http://schemas.openxmlformats.org/drawingml/2006/main">
                  <a:graphicData uri="http://schemas.microsoft.com/office/word/2010/wordprocessingShape">
                    <wps:wsp>
                      <wps:cNvSpPr txBox="1"/>
                      <wps:spPr>
                        <a:xfrm>
                          <a:off x="0" y="0"/>
                          <a:ext cx="3314700" cy="52197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05D723A" w14:textId="77777777" w:rsidR="00CA4B5C" w:rsidRPr="00251636" w:rsidRDefault="00CA4B5C">
                            <w:pPr>
                              <w:rPr>
                                <w:b/>
                                <w:bCs/>
                                <w:caps/>
                                <w:color w:val="FFFFFF" w:themeColor="background1"/>
                                <w:sz w:val="44"/>
                                <w:szCs w:val="44"/>
                                <w14:shadow w14:blurRad="206375" w14:dist="0" w14:dir="0" w14:sx="100000" w14:sy="100000" w14:kx="0" w14:ky="0" w14:algn="tl">
                                  <w14:srgbClr w14:val="000000">
                                    <w14:alpha w14:val="57000"/>
                                  </w14:srgbClr>
                                </w14:shadow>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491FAE" id="_x0000_t202" coordsize="21600,21600" o:spt="202" path="m,l,21600r21600,l21600,xe">
                <v:stroke joinstyle="miter"/>
                <v:path gradientshapeok="t" o:connecttype="rect"/>
              </v:shapetype>
              <v:shape id="Text Box 7" o:spid="_x0000_s1026" type="#_x0000_t202" style="position:absolute;margin-left:-9pt;margin-top:431.15pt;width:261pt;height:4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" filled="f" stroked="f">
                <v:textbox>
                  <w:txbxContent>
                    <w:p w14:paraId="405D723A" w14:textId="77777777" w:rsidR="00CA4B5C" w:rsidRPr="00251636" w:rsidRDefault="00CA4B5C">
                      <w:pPr>
                        <w:rPr>
                          <w:b/>
                          <w:bCs/>
                          <w:caps/>
                          <w:color w:val="FFFFFF" w:themeColor="background1"/>
                          <w:sz w:val="44"/>
                          <w:szCs w:val="44"/>
                          <w14:shadow w14:blurRad="206375" w14:dist="0" w14:dir="0" w14:sx="100000" w14:sy="100000" w14:kx="0" w14:ky="0" w14:algn="tl">
                            <w14:srgbClr w14:val="000000">
                              <w14:alpha w14:val="57000"/>
                            </w14:srgbClr>
                          </w14:shadow>
                        </w:rPr>
                      </w:pPr>
                    </w:p>
                  </w:txbxContent>
                </v:textbox>
                <w10:wrap type="square" anchory="margin"/>
              </v:shape>
            </w:pict>
          </mc:Fallback>
        </mc:AlternateContent>
      </w:r>
    </w:p>
    <w:p w14:paraId="5040CEFE" w14:textId="77777777" w:rsidR="00FF1660" w:rsidRPr="00677889" w:rsidRDefault="00FE7443">
      <w:pPr>
        <w:keepLines w:val="0"/>
        <w:widowControl/>
        <w:spacing w:after="200"/>
      </w:pPr>
      <w:r w:rsidRPr="00677889">
        <w:rPr>
          <w:noProof/>
          <w:lang w:eastAsia="en-AU"/>
        </w:rPr>
        <mc:AlternateContent>
          <mc:Choice Requires="wps">
            <w:drawing>
              <wp:anchor distT="0" distB="0" distL="114300" distR="114300" simplePos="0" relativeHeight="251655168" behindDoc="0" locked="0" layoutInCell="1" allowOverlap="1" wp14:anchorId="7ACB23AB" wp14:editId="0538409B">
                <wp:simplePos x="0" y="0"/>
                <wp:positionH relativeFrom="column">
                  <wp:posOffset>2766695</wp:posOffset>
                </wp:positionH>
                <wp:positionV relativeFrom="paragraph">
                  <wp:posOffset>1289685</wp:posOffset>
                </wp:positionV>
                <wp:extent cx="2952750" cy="4000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52750" cy="40005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1DEF63C3" w14:textId="21C46C57" w:rsidR="00CA4B5C" w:rsidRPr="005A6ADD" w:rsidRDefault="00C85E6B" w:rsidP="00FD3B5D">
                            <w:pPr>
                              <w:pStyle w:val="BodyText"/>
                              <w:jc w:val="right"/>
                              <w:rPr>
                                <w:b/>
                                <w:color w:val="FFFFFF" w:themeColor="background1"/>
                                <w:sz w:val="24"/>
                                <w:szCs w:val="24"/>
                              </w:rPr>
                            </w:pPr>
                            <w:r>
                              <w:rPr>
                                <w:b/>
                                <w:color w:val="FFFFFF" w:themeColor="background1"/>
                                <w:sz w:val="24"/>
                                <w:szCs w:val="24"/>
                              </w:rPr>
                              <w:t>May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CB23AB" id="Text Box 1" o:spid="_x0000_s1027" type="#_x0000_t202" style="position:absolute;margin-left:217.85pt;margin-top:101.55pt;width:232.5pt;height: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" filled="f" stroked="f">
                <v:textbox>
                  <w:txbxContent>
                    <w:p w14:paraId="1DEF63C3" w14:textId="21C46C57" w:rsidR="00CA4B5C" w:rsidRPr="005A6ADD" w:rsidRDefault="00C85E6B" w:rsidP="00FD3B5D">
                      <w:pPr>
                        <w:pStyle w:val="BodyText"/>
                        <w:jc w:val="right"/>
                        <w:rPr>
                          <w:b/>
                          <w:color w:val="FFFFFF" w:themeColor="background1"/>
                          <w:sz w:val="24"/>
                          <w:szCs w:val="24"/>
                        </w:rPr>
                      </w:pPr>
                      <w:r>
                        <w:rPr>
                          <w:b/>
                          <w:color w:val="FFFFFF" w:themeColor="background1"/>
                          <w:sz w:val="24"/>
                          <w:szCs w:val="24"/>
                        </w:rPr>
                        <w:t>May 2017</w:t>
                      </w:r>
                    </w:p>
                  </w:txbxContent>
                </v:textbox>
                <w10:wrap type="square"/>
              </v:shape>
            </w:pict>
          </mc:Fallback>
        </mc:AlternateContent>
      </w:r>
      <w:r w:rsidR="00FF1660" w:rsidRPr="00677889">
        <w:br w:type="page"/>
      </w:r>
    </w:p>
    <w:p w14:paraId="6151BD43" w14:textId="77777777" w:rsidR="00833662" w:rsidRPr="00677889" w:rsidRDefault="00833662" w:rsidP="00214C4F">
      <w:pPr>
        <w:sectPr w:rsidR="00833662" w:rsidRPr="00677889" w:rsidSect="003E708F">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5387" w:right="1418" w:bottom="964" w:left="1418" w:header="964" w:footer="567" w:gutter="0"/>
          <w:cols w:space="708"/>
          <w:titlePg/>
          <w:docGrid w:linePitch="360"/>
        </w:sectPr>
      </w:pPr>
    </w:p>
    <w:p w14:paraId="17D6AF20" w14:textId="77777777" w:rsidR="00214C4F" w:rsidRPr="00677889" w:rsidRDefault="00D14A79" w:rsidP="00214C4F">
      <w:pPr>
        <w:pStyle w:val="TOCHeading"/>
      </w:pPr>
      <w:bookmarkStart w:id="6" w:name="_Toc446242255"/>
      <w:bookmarkEnd w:id="1"/>
      <w:bookmarkEnd w:id="2"/>
      <w:bookmarkEnd w:id="3"/>
      <w:bookmarkEnd w:id="4"/>
      <w:r w:rsidRPr="00677889">
        <w:lastRenderedPageBreak/>
        <w:t>CONTENTS</w:t>
      </w:r>
      <w:bookmarkEnd w:id="6"/>
    </w:p>
    <w:sdt>
      <w:sdtPr>
        <w:rPr>
          <w:b w:val="0"/>
          <w:szCs w:val="24"/>
        </w:rPr>
        <w:id w:val="501940238"/>
        <w:docPartObj>
          <w:docPartGallery w:val="Table of Contents"/>
          <w:docPartUnique/>
        </w:docPartObj>
      </w:sdtPr>
      <w:sdtEndPr>
        <w:rPr>
          <w:bCs/>
          <w:noProof/>
          <w:szCs w:val="21"/>
        </w:rPr>
      </w:sdtEndPr>
      <w:sdtContent>
        <w:p w14:paraId="220914CD" w14:textId="77777777" w:rsidR="00CC64FE" w:rsidRPr="00677889" w:rsidRDefault="00FF1660" w:rsidP="00D01E56">
          <w:pPr>
            <w:pStyle w:val="TOC1"/>
            <w:rPr>
              <w:rFonts w:asciiTheme="minorHAnsi" w:eastAsiaTheme="minorEastAsia" w:hAnsiTheme="minorHAnsi" w:cstheme="minorBidi"/>
              <w:b w:val="0"/>
              <w:noProof/>
              <w:color w:val="auto"/>
              <w:sz w:val="22"/>
              <w:szCs w:val="22"/>
              <w:lang w:val="en-US"/>
            </w:rPr>
          </w:pPr>
          <w:r w:rsidRPr="00677889">
            <w:fldChar w:fldCharType="begin"/>
          </w:r>
          <w:r w:rsidRPr="00677889">
            <w:instrText xml:space="preserve"> TOC \o "1-3" \h \z \u </w:instrText>
          </w:r>
          <w:r w:rsidRPr="00677889">
            <w:fldChar w:fldCharType="separate"/>
          </w:r>
          <w:hyperlink w:anchor="_Toc446242256" w:history="1">
            <w:r w:rsidR="00CC64FE" w:rsidRPr="00677889">
              <w:rPr>
                <w:rStyle w:val="Hyperlink"/>
                <w:rFonts w:eastAsia="Arial Unicode MS"/>
                <w:noProof/>
              </w:rPr>
              <w:t>ACKNOWLEDGEMENTS</w:t>
            </w:r>
            <w:r w:rsidR="00CC64FE" w:rsidRPr="00677889">
              <w:rPr>
                <w:noProof/>
                <w:webHidden/>
              </w:rPr>
              <w:tab/>
            </w:r>
            <w:r w:rsidR="00CC64FE" w:rsidRPr="00677889">
              <w:rPr>
                <w:noProof/>
                <w:webHidden/>
              </w:rPr>
              <w:fldChar w:fldCharType="begin"/>
            </w:r>
            <w:r w:rsidR="00CC64FE" w:rsidRPr="00677889">
              <w:rPr>
                <w:noProof/>
                <w:webHidden/>
              </w:rPr>
              <w:instrText xml:space="preserve"> PAGEREF _Toc446242256 \h </w:instrText>
            </w:r>
            <w:r w:rsidR="00CC64FE" w:rsidRPr="00677889">
              <w:rPr>
                <w:noProof/>
                <w:webHidden/>
              </w:rPr>
            </w:r>
            <w:r w:rsidR="00CC64FE" w:rsidRPr="00677889">
              <w:rPr>
                <w:noProof/>
                <w:webHidden/>
              </w:rPr>
              <w:fldChar w:fldCharType="separate"/>
            </w:r>
            <w:r w:rsidR="00164BED">
              <w:rPr>
                <w:noProof/>
                <w:webHidden/>
              </w:rPr>
              <w:t>3</w:t>
            </w:r>
            <w:r w:rsidR="00CC64FE" w:rsidRPr="00677889">
              <w:rPr>
                <w:noProof/>
                <w:webHidden/>
              </w:rPr>
              <w:fldChar w:fldCharType="end"/>
            </w:r>
          </w:hyperlink>
        </w:p>
        <w:p w14:paraId="516FBC76" w14:textId="77777777" w:rsidR="00CC64FE" w:rsidRPr="00677889" w:rsidRDefault="00D159D8" w:rsidP="00CC64FE">
          <w:pPr>
            <w:pStyle w:val="TOC1"/>
            <w:spacing w:before="240"/>
            <w:rPr>
              <w:rFonts w:asciiTheme="minorHAnsi" w:eastAsiaTheme="minorEastAsia" w:hAnsiTheme="minorHAnsi" w:cstheme="minorBidi"/>
              <w:b w:val="0"/>
              <w:noProof/>
              <w:color w:val="auto"/>
              <w:sz w:val="22"/>
              <w:szCs w:val="22"/>
              <w:lang w:val="en-US"/>
            </w:rPr>
          </w:pPr>
          <w:hyperlink w:anchor="_Toc446242257" w:history="1">
            <w:r w:rsidR="00CC64FE" w:rsidRPr="00677889">
              <w:rPr>
                <w:rStyle w:val="Hyperlink"/>
                <w:rFonts w:eastAsia="Arial Unicode MS"/>
                <w:noProof/>
              </w:rPr>
              <w:t>INTRODUCTION</w:t>
            </w:r>
            <w:r w:rsidR="00CC64FE" w:rsidRPr="00677889">
              <w:rPr>
                <w:noProof/>
                <w:webHidden/>
              </w:rPr>
              <w:tab/>
            </w:r>
            <w:r w:rsidR="00CC64FE" w:rsidRPr="00677889">
              <w:rPr>
                <w:noProof/>
                <w:webHidden/>
              </w:rPr>
              <w:fldChar w:fldCharType="begin"/>
            </w:r>
            <w:r w:rsidR="00CC64FE" w:rsidRPr="00677889">
              <w:rPr>
                <w:noProof/>
                <w:webHidden/>
              </w:rPr>
              <w:instrText xml:space="preserve"> PAGEREF _Toc446242257 \h </w:instrText>
            </w:r>
            <w:r w:rsidR="00CC64FE" w:rsidRPr="00677889">
              <w:rPr>
                <w:noProof/>
                <w:webHidden/>
              </w:rPr>
            </w:r>
            <w:r w:rsidR="00CC64FE" w:rsidRPr="00677889">
              <w:rPr>
                <w:noProof/>
                <w:webHidden/>
              </w:rPr>
              <w:fldChar w:fldCharType="separate"/>
            </w:r>
            <w:r w:rsidR="00164BED">
              <w:rPr>
                <w:noProof/>
                <w:webHidden/>
              </w:rPr>
              <w:t>4</w:t>
            </w:r>
            <w:r w:rsidR="00CC64FE" w:rsidRPr="00677889">
              <w:rPr>
                <w:noProof/>
                <w:webHidden/>
              </w:rPr>
              <w:fldChar w:fldCharType="end"/>
            </w:r>
          </w:hyperlink>
        </w:p>
        <w:p w14:paraId="469DD95A" w14:textId="77777777" w:rsidR="00CC64FE" w:rsidRPr="00677889" w:rsidRDefault="00D159D8" w:rsidP="00845054">
          <w:pPr>
            <w:pStyle w:val="TOC2"/>
            <w:ind w:left="1134"/>
            <w:rPr>
              <w:rFonts w:asciiTheme="minorHAnsi" w:eastAsiaTheme="minorEastAsia" w:hAnsiTheme="minorHAnsi" w:cstheme="minorBidi"/>
              <w:noProof/>
              <w:color w:val="auto"/>
              <w:sz w:val="22"/>
              <w:szCs w:val="22"/>
              <w:lang w:val="en-US"/>
            </w:rPr>
          </w:pPr>
          <w:hyperlink w:anchor="_Toc446242258" w:history="1">
            <w:r w:rsidR="00CC64FE" w:rsidRPr="00677889">
              <w:rPr>
                <w:rStyle w:val="Hyperlink"/>
                <w:noProof/>
              </w:rPr>
              <w:t>Council on Chiropractic Education Australasia (CCEA)</w:t>
            </w:r>
            <w:r w:rsidR="00CC64FE" w:rsidRPr="00677889">
              <w:rPr>
                <w:noProof/>
                <w:webHidden/>
              </w:rPr>
              <w:tab/>
            </w:r>
            <w:r w:rsidR="00CC64FE" w:rsidRPr="00677889">
              <w:rPr>
                <w:noProof/>
                <w:webHidden/>
              </w:rPr>
              <w:fldChar w:fldCharType="begin"/>
            </w:r>
            <w:r w:rsidR="00CC64FE" w:rsidRPr="00677889">
              <w:rPr>
                <w:noProof/>
                <w:webHidden/>
              </w:rPr>
              <w:instrText xml:space="preserve"> PAGEREF _Toc446242258 \h </w:instrText>
            </w:r>
            <w:r w:rsidR="00CC64FE" w:rsidRPr="00677889">
              <w:rPr>
                <w:noProof/>
                <w:webHidden/>
              </w:rPr>
            </w:r>
            <w:r w:rsidR="00CC64FE" w:rsidRPr="00677889">
              <w:rPr>
                <w:noProof/>
                <w:webHidden/>
              </w:rPr>
              <w:fldChar w:fldCharType="separate"/>
            </w:r>
            <w:r w:rsidR="00164BED">
              <w:rPr>
                <w:noProof/>
                <w:webHidden/>
              </w:rPr>
              <w:t>4</w:t>
            </w:r>
            <w:r w:rsidR="00CC64FE" w:rsidRPr="00677889">
              <w:rPr>
                <w:noProof/>
                <w:webHidden/>
              </w:rPr>
              <w:fldChar w:fldCharType="end"/>
            </w:r>
          </w:hyperlink>
        </w:p>
        <w:p w14:paraId="30A82D69" w14:textId="77777777" w:rsidR="00CC64FE" w:rsidRPr="00677889" w:rsidRDefault="00D159D8" w:rsidP="00845054">
          <w:pPr>
            <w:pStyle w:val="TOC2"/>
            <w:ind w:left="1134"/>
            <w:rPr>
              <w:rFonts w:asciiTheme="minorHAnsi" w:eastAsiaTheme="minorEastAsia" w:hAnsiTheme="minorHAnsi" w:cstheme="minorBidi"/>
              <w:noProof/>
              <w:color w:val="auto"/>
              <w:sz w:val="22"/>
              <w:szCs w:val="22"/>
              <w:lang w:val="en-US"/>
            </w:rPr>
          </w:pPr>
          <w:hyperlink w:anchor="_Toc446242259" w:history="1">
            <w:r w:rsidR="00CC64FE" w:rsidRPr="00677889">
              <w:rPr>
                <w:rStyle w:val="Hyperlink"/>
                <w:noProof/>
              </w:rPr>
              <w:t>Accreditation and Competency Standards and Accreditation</w:t>
            </w:r>
            <w:r w:rsidR="00CC64FE" w:rsidRPr="00677889">
              <w:rPr>
                <w:noProof/>
                <w:webHidden/>
              </w:rPr>
              <w:tab/>
            </w:r>
            <w:r w:rsidR="00CC64FE" w:rsidRPr="00677889">
              <w:rPr>
                <w:noProof/>
                <w:webHidden/>
              </w:rPr>
              <w:fldChar w:fldCharType="begin"/>
            </w:r>
            <w:r w:rsidR="00CC64FE" w:rsidRPr="00677889">
              <w:rPr>
                <w:noProof/>
                <w:webHidden/>
              </w:rPr>
              <w:instrText xml:space="preserve"> PAGEREF _Toc446242259 \h </w:instrText>
            </w:r>
            <w:r w:rsidR="00CC64FE" w:rsidRPr="00677889">
              <w:rPr>
                <w:noProof/>
                <w:webHidden/>
              </w:rPr>
            </w:r>
            <w:r w:rsidR="00CC64FE" w:rsidRPr="00677889">
              <w:rPr>
                <w:noProof/>
                <w:webHidden/>
              </w:rPr>
              <w:fldChar w:fldCharType="separate"/>
            </w:r>
            <w:r w:rsidR="00164BED">
              <w:rPr>
                <w:noProof/>
                <w:webHidden/>
              </w:rPr>
              <w:t>4</w:t>
            </w:r>
            <w:r w:rsidR="00CC64FE" w:rsidRPr="00677889">
              <w:rPr>
                <w:noProof/>
                <w:webHidden/>
              </w:rPr>
              <w:fldChar w:fldCharType="end"/>
            </w:r>
          </w:hyperlink>
        </w:p>
        <w:p w14:paraId="3EE2D535" w14:textId="77777777" w:rsidR="00CC64FE" w:rsidRPr="00677889" w:rsidRDefault="00D159D8" w:rsidP="00CC64FE">
          <w:pPr>
            <w:pStyle w:val="TOC1"/>
            <w:spacing w:before="240"/>
            <w:rPr>
              <w:rFonts w:asciiTheme="minorHAnsi" w:eastAsiaTheme="minorEastAsia" w:hAnsiTheme="minorHAnsi" w:cstheme="minorBidi"/>
              <w:b w:val="0"/>
              <w:noProof/>
              <w:color w:val="auto"/>
              <w:sz w:val="22"/>
              <w:szCs w:val="22"/>
              <w:lang w:val="en-US"/>
            </w:rPr>
          </w:pPr>
          <w:hyperlink w:anchor="_Toc446242261" w:history="1">
            <w:r w:rsidR="00CC64FE" w:rsidRPr="00677889">
              <w:rPr>
                <w:rStyle w:val="Hyperlink"/>
                <w:noProof/>
              </w:rPr>
              <w:t>REVIEW AND CONSULTATION PROCESS</w:t>
            </w:r>
            <w:r w:rsidR="00CC64FE" w:rsidRPr="00677889">
              <w:rPr>
                <w:noProof/>
                <w:webHidden/>
              </w:rPr>
              <w:tab/>
            </w:r>
            <w:r w:rsidR="00CC64FE" w:rsidRPr="00677889">
              <w:rPr>
                <w:noProof/>
                <w:webHidden/>
              </w:rPr>
              <w:fldChar w:fldCharType="begin"/>
            </w:r>
            <w:r w:rsidR="00CC64FE" w:rsidRPr="00677889">
              <w:rPr>
                <w:noProof/>
                <w:webHidden/>
              </w:rPr>
              <w:instrText xml:space="preserve"> PAGEREF _Toc446242261 \h </w:instrText>
            </w:r>
            <w:r w:rsidR="00CC64FE" w:rsidRPr="00677889">
              <w:rPr>
                <w:noProof/>
                <w:webHidden/>
              </w:rPr>
            </w:r>
            <w:r w:rsidR="00CC64FE" w:rsidRPr="00677889">
              <w:rPr>
                <w:noProof/>
                <w:webHidden/>
              </w:rPr>
              <w:fldChar w:fldCharType="separate"/>
            </w:r>
            <w:r w:rsidR="00164BED">
              <w:rPr>
                <w:noProof/>
                <w:webHidden/>
              </w:rPr>
              <w:t>6</w:t>
            </w:r>
            <w:r w:rsidR="00CC64FE" w:rsidRPr="00677889">
              <w:rPr>
                <w:noProof/>
                <w:webHidden/>
              </w:rPr>
              <w:fldChar w:fldCharType="end"/>
            </w:r>
          </w:hyperlink>
        </w:p>
        <w:p w14:paraId="1F1A37B6" w14:textId="77777777" w:rsidR="00CC64FE" w:rsidRPr="00677889" w:rsidRDefault="00D159D8" w:rsidP="00CC64FE">
          <w:pPr>
            <w:pStyle w:val="TOC1"/>
            <w:spacing w:before="240"/>
            <w:rPr>
              <w:rFonts w:asciiTheme="minorHAnsi" w:eastAsiaTheme="minorEastAsia" w:hAnsiTheme="minorHAnsi" w:cstheme="minorBidi"/>
              <w:b w:val="0"/>
              <w:noProof/>
              <w:color w:val="auto"/>
              <w:sz w:val="22"/>
              <w:szCs w:val="22"/>
              <w:lang w:val="en-US"/>
            </w:rPr>
          </w:pPr>
          <w:hyperlink w:anchor="_Toc446242262" w:history="1">
            <w:r w:rsidR="00CC64FE" w:rsidRPr="00677889">
              <w:rPr>
                <w:rStyle w:val="Hyperlink"/>
                <w:noProof/>
              </w:rPr>
              <w:t>ACCREDITATION STANDARDS</w:t>
            </w:r>
            <w:r w:rsidR="00CC64FE" w:rsidRPr="00677889">
              <w:rPr>
                <w:noProof/>
                <w:webHidden/>
              </w:rPr>
              <w:tab/>
            </w:r>
            <w:r w:rsidR="00CC64FE" w:rsidRPr="00677889">
              <w:rPr>
                <w:noProof/>
                <w:webHidden/>
              </w:rPr>
              <w:fldChar w:fldCharType="begin"/>
            </w:r>
            <w:r w:rsidR="00CC64FE" w:rsidRPr="00677889">
              <w:rPr>
                <w:noProof/>
                <w:webHidden/>
              </w:rPr>
              <w:instrText xml:space="preserve"> PAGEREF _Toc446242262 \h </w:instrText>
            </w:r>
            <w:r w:rsidR="00CC64FE" w:rsidRPr="00677889">
              <w:rPr>
                <w:noProof/>
                <w:webHidden/>
              </w:rPr>
            </w:r>
            <w:r w:rsidR="00CC64FE" w:rsidRPr="00677889">
              <w:rPr>
                <w:noProof/>
                <w:webHidden/>
              </w:rPr>
              <w:fldChar w:fldCharType="separate"/>
            </w:r>
            <w:r w:rsidR="00164BED">
              <w:rPr>
                <w:noProof/>
                <w:webHidden/>
              </w:rPr>
              <w:t>9</w:t>
            </w:r>
            <w:r w:rsidR="00CC64FE" w:rsidRPr="00677889">
              <w:rPr>
                <w:noProof/>
                <w:webHidden/>
              </w:rPr>
              <w:fldChar w:fldCharType="end"/>
            </w:r>
          </w:hyperlink>
        </w:p>
        <w:p w14:paraId="4BD7F258" w14:textId="77777777" w:rsidR="00CC64FE" w:rsidRPr="00677889" w:rsidRDefault="00D159D8" w:rsidP="00845054">
          <w:pPr>
            <w:pStyle w:val="TOC2"/>
            <w:ind w:left="1134"/>
            <w:rPr>
              <w:rFonts w:asciiTheme="minorHAnsi" w:eastAsiaTheme="minorEastAsia" w:hAnsiTheme="minorHAnsi" w:cstheme="minorBidi"/>
              <w:noProof/>
              <w:color w:val="auto"/>
              <w:sz w:val="22"/>
              <w:szCs w:val="22"/>
              <w:lang w:val="en-US"/>
            </w:rPr>
          </w:pPr>
          <w:hyperlink w:anchor="_Toc446242263" w:history="1">
            <w:r w:rsidR="00CC64FE" w:rsidRPr="00677889">
              <w:rPr>
                <w:rStyle w:val="Hyperlink"/>
                <w:noProof/>
              </w:rPr>
              <w:t>Accreditation Standards Model</w:t>
            </w:r>
            <w:r w:rsidR="00CC64FE" w:rsidRPr="00677889">
              <w:rPr>
                <w:noProof/>
                <w:webHidden/>
              </w:rPr>
              <w:tab/>
            </w:r>
            <w:r w:rsidR="00CC64FE" w:rsidRPr="00677889">
              <w:rPr>
                <w:noProof/>
                <w:webHidden/>
              </w:rPr>
              <w:fldChar w:fldCharType="begin"/>
            </w:r>
            <w:r w:rsidR="00CC64FE" w:rsidRPr="00677889">
              <w:rPr>
                <w:noProof/>
                <w:webHidden/>
              </w:rPr>
              <w:instrText xml:space="preserve"> PAGEREF _Toc446242263 \h </w:instrText>
            </w:r>
            <w:r w:rsidR="00CC64FE" w:rsidRPr="00677889">
              <w:rPr>
                <w:noProof/>
                <w:webHidden/>
              </w:rPr>
            </w:r>
            <w:r w:rsidR="00CC64FE" w:rsidRPr="00677889">
              <w:rPr>
                <w:noProof/>
                <w:webHidden/>
              </w:rPr>
              <w:fldChar w:fldCharType="separate"/>
            </w:r>
            <w:r w:rsidR="00164BED">
              <w:rPr>
                <w:noProof/>
                <w:webHidden/>
              </w:rPr>
              <w:t>9</w:t>
            </w:r>
            <w:r w:rsidR="00CC64FE" w:rsidRPr="00677889">
              <w:rPr>
                <w:noProof/>
                <w:webHidden/>
              </w:rPr>
              <w:fldChar w:fldCharType="end"/>
            </w:r>
          </w:hyperlink>
        </w:p>
        <w:p w14:paraId="367900C5" w14:textId="77777777" w:rsidR="00CC64FE" w:rsidRPr="00677889" w:rsidRDefault="00D159D8" w:rsidP="00845054">
          <w:pPr>
            <w:pStyle w:val="TOC2"/>
            <w:ind w:left="1134"/>
            <w:rPr>
              <w:rFonts w:asciiTheme="minorHAnsi" w:eastAsiaTheme="minorEastAsia" w:hAnsiTheme="minorHAnsi" w:cstheme="minorBidi"/>
              <w:noProof/>
              <w:color w:val="auto"/>
              <w:sz w:val="22"/>
              <w:szCs w:val="22"/>
              <w:lang w:val="en-US"/>
            </w:rPr>
          </w:pPr>
          <w:hyperlink w:anchor="_Toc446242264" w:history="1">
            <w:r w:rsidR="00CC64FE" w:rsidRPr="00677889">
              <w:rPr>
                <w:rStyle w:val="Hyperlink"/>
                <w:noProof/>
              </w:rPr>
              <w:t>Accreditation Standards Statements</w:t>
            </w:r>
            <w:r w:rsidR="00CC64FE" w:rsidRPr="00677889">
              <w:rPr>
                <w:noProof/>
                <w:webHidden/>
              </w:rPr>
              <w:tab/>
            </w:r>
            <w:r w:rsidR="00CC64FE" w:rsidRPr="00677889">
              <w:rPr>
                <w:noProof/>
                <w:webHidden/>
              </w:rPr>
              <w:fldChar w:fldCharType="begin"/>
            </w:r>
            <w:r w:rsidR="00CC64FE" w:rsidRPr="00677889">
              <w:rPr>
                <w:noProof/>
                <w:webHidden/>
              </w:rPr>
              <w:instrText xml:space="preserve"> PAGEREF _Toc446242264 \h </w:instrText>
            </w:r>
            <w:r w:rsidR="00CC64FE" w:rsidRPr="00677889">
              <w:rPr>
                <w:noProof/>
                <w:webHidden/>
              </w:rPr>
            </w:r>
            <w:r w:rsidR="00CC64FE" w:rsidRPr="00677889">
              <w:rPr>
                <w:noProof/>
                <w:webHidden/>
              </w:rPr>
              <w:fldChar w:fldCharType="separate"/>
            </w:r>
            <w:r w:rsidR="00164BED">
              <w:rPr>
                <w:noProof/>
                <w:webHidden/>
              </w:rPr>
              <w:t>10</w:t>
            </w:r>
            <w:r w:rsidR="00CC64FE" w:rsidRPr="00677889">
              <w:rPr>
                <w:noProof/>
                <w:webHidden/>
              </w:rPr>
              <w:fldChar w:fldCharType="end"/>
            </w:r>
          </w:hyperlink>
        </w:p>
        <w:p w14:paraId="5B1F677F" w14:textId="77777777" w:rsidR="00CC64FE" w:rsidRPr="00677889" w:rsidRDefault="00D159D8" w:rsidP="00845054">
          <w:pPr>
            <w:pStyle w:val="TOC2"/>
            <w:ind w:left="1287"/>
            <w:rPr>
              <w:rFonts w:asciiTheme="minorHAnsi" w:eastAsiaTheme="minorEastAsia" w:hAnsiTheme="minorHAnsi" w:cstheme="minorBidi"/>
              <w:noProof/>
              <w:color w:val="auto"/>
              <w:sz w:val="22"/>
              <w:szCs w:val="22"/>
              <w:lang w:val="en-US"/>
            </w:rPr>
          </w:pPr>
          <w:hyperlink w:anchor="_Toc446242265" w:history="1">
            <w:r w:rsidR="00CC64FE" w:rsidRPr="00677889">
              <w:rPr>
                <w:rStyle w:val="Hyperlink"/>
                <w:noProof/>
              </w:rPr>
              <w:t>STANDARD 1 – PUBLIC SAFETY</w:t>
            </w:r>
            <w:r w:rsidR="00CC64FE" w:rsidRPr="00677889">
              <w:rPr>
                <w:noProof/>
                <w:webHidden/>
              </w:rPr>
              <w:tab/>
            </w:r>
            <w:r w:rsidR="00CC64FE" w:rsidRPr="00677889">
              <w:rPr>
                <w:noProof/>
                <w:webHidden/>
              </w:rPr>
              <w:fldChar w:fldCharType="begin"/>
            </w:r>
            <w:r w:rsidR="00CC64FE" w:rsidRPr="00677889">
              <w:rPr>
                <w:noProof/>
                <w:webHidden/>
              </w:rPr>
              <w:instrText xml:space="preserve"> PAGEREF _Toc446242265 \h </w:instrText>
            </w:r>
            <w:r w:rsidR="00CC64FE" w:rsidRPr="00677889">
              <w:rPr>
                <w:noProof/>
                <w:webHidden/>
              </w:rPr>
            </w:r>
            <w:r w:rsidR="00CC64FE" w:rsidRPr="00677889">
              <w:rPr>
                <w:noProof/>
                <w:webHidden/>
              </w:rPr>
              <w:fldChar w:fldCharType="separate"/>
            </w:r>
            <w:r w:rsidR="00164BED">
              <w:rPr>
                <w:noProof/>
                <w:webHidden/>
              </w:rPr>
              <w:t>11</w:t>
            </w:r>
            <w:r w:rsidR="00CC64FE" w:rsidRPr="00677889">
              <w:rPr>
                <w:noProof/>
                <w:webHidden/>
              </w:rPr>
              <w:fldChar w:fldCharType="end"/>
            </w:r>
          </w:hyperlink>
        </w:p>
        <w:p w14:paraId="5ED25C7C" w14:textId="77777777" w:rsidR="00CC64FE" w:rsidRPr="00677889" w:rsidRDefault="00D159D8" w:rsidP="00845054">
          <w:pPr>
            <w:pStyle w:val="TOC2"/>
            <w:ind w:left="1287"/>
            <w:rPr>
              <w:rFonts w:asciiTheme="minorHAnsi" w:eastAsiaTheme="minorEastAsia" w:hAnsiTheme="minorHAnsi" w:cstheme="minorBidi"/>
              <w:noProof/>
              <w:color w:val="auto"/>
              <w:sz w:val="20"/>
              <w:szCs w:val="20"/>
              <w:lang w:val="en-US"/>
            </w:rPr>
          </w:pPr>
          <w:hyperlink w:anchor="_Toc446242267" w:history="1">
            <w:r w:rsidR="00CC64FE" w:rsidRPr="00677889">
              <w:rPr>
                <w:rStyle w:val="Hyperlink"/>
                <w:noProof/>
                <w:szCs w:val="20"/>
              </w:rPr>
              <w:t>STANDARD 2 – GOVERNANCE AND QUALITY IMPROVEMENT</w:t>
            </w:r>
            <w:r w:rsidR="00CC64FE" w:rsidRPr="00677889">
              <w:rPr>
                <w:noProof/>
                <w:webHidden/>
                <w:sz w:val="20"/>
                <w:szCs w:val="20"/>
              </w:rPr>
              <w:tab/>
            </w:r>
            <w:r w:rsidR="00CC64FE" w:rsidRPr="00677889">
              <w:rPr>
                <w:noProof/>
                <w:webHidden/>
                <w:sz w:val="20"/>
                <w:szCs w:val="20"/>
              </w:rPr>
              <w:fldChar w:fldCharType="begin"/>
            </w:r>
            <w:r w:rsidR="00CC64FE" w:rsidRPr="00677889">
              <w:rPr>
                <w:noProof/>
                <w:webHidden/>
                <w:sz w:val="20"/>
                <w:szCs w:val="20"/>
              </w:rPr>
              <w:instrText xml:space="preserve"> PAGEREF _Toc446242267 \h </w:instrText>
            </w:r>
            <w:r w:rsidR="00CC64FE" w:rsidRPr="00677889">
              <w:rPr>
                <w:noProof/>
                <w:webHidden/>
                <w:sz w:val="20"/>
                <w:szCs w:val="20"/>
              </w:rPr>
            </w:r>
            <w:r w:rsidR="00CC64FE" w:rsidRPr="00677889">
              <w:rPr>
                <w:noProof/>
                <w:webHidden/>
                <w:sz w:val="20"/>
                <w:szCs w:val="20"/>
              </w:rPr>
              <w:fldChar w:fldCharType="separate"/>
            </w:r>
            <w:r w:rsidR="00164BED">
              <w:rPr>
                <w:noProof/>
                <w:webHidden/>
                <w:sz w:val="20"/>
                <w:szCs w:val="20"/>
              </w:rPr>
              <w:t>12</w:t>
            </w:r>
            <w:r w:rsidR="00CC64FE" w:rsidRPr="00677889">
              <w:rPr>
                <w:noProof/>
                <w:webHidden/>
                <w:sz w:val="20"/>
                <w:szCs w:val="20"/>
              </w:rPr>
              <w:fldChar w:fldCharType="end"/>
            </w:r>
          </w:hyperlink>
        </w:p>
        <w:p w14:paraId="4732E9B9" w14:textId="77777777" w:rsidR="00CC64FE" w:rsidRPr="00677889" w:rsidRDefault="00D159D8" w:rsidP="00845054">
          <w:pPr>
            <w:pStyle w:val="TOC3"/>
            <w:tabs>
              <w:tab w:val="left" w:pos="1134"/>
            </w:tabs>
            <w:ind w:left="720" w:firstLine="0"/>
            <w:rPr>
              <w:rFonts w:asciiTheme="minorHAnsi" w:eastAsiaTheme="minorEastAsia" w:hAnsiTheme="minorHAnsi" w:cstheme="minorBidi"/>
              <w:noProof/>
              <w:color w:val="auto"/>
              <w:sz w:val="22"/>
              <w:szCs w:val="22"/>
              <w:lang w:val="en-US"/>
            </w:rPr>
          </w:pPr>
          <w:hyperlink w:anchor="_Toc446242269" w:history="1">
            <w:r w:rsidR="00CC64FE" w:rsidRPr="00677889">
              <w:rPr>
                <w:rStyle w:val="Hyperlink"/>
                <w:noProof/>
              </w:rPr>
              <w:t>STANDARD 3 – PROGRAM OF STUDY</w:t>
            </w:r>
            <w:r w:rsidR="00CC64FE" w:rsidRPr="00677889">
              <w:rPr>
                <w:noProof/>
                <w:webHidden/>
              </w:rPr>
              <w:tab/>
            </w:r>
            <w:r w:rsidR="00CC64FE" w:rsidRPr="00677889">
              <w:rPr>
                <w:noProof/>
                <w:webHidden/>
              </w:rPr>
              <w:fldChar w:fldCharType="begin"/>
            </w:r>
            <w:r w:rsidR="00CC64FE" w:rsidRPr="00677889">
              <w:rPr>
                <w:noProof/>
                <w:webHidden/>
              </w:rPr>
              <w:instrText xml:space="preserve"> PAGEREF _Toc446242269 \h </w:instrText>
            </w:r>
            <w:r w:rsidR="00CC64FE" w:rsidRPr="00677889">
              <w:rPr>
                <w:noProof/>
                <w:webHidden/>
              </w:rPr>
            </w:r>
            <w:r w:rsidR="00CC64FE" w:rsidRPr="00677889">
              <w:rPr>
                <w:noProof/>
                <w:webHidden/>
              </w:rPr>
              <w:fldChar w:fldCharType="separate"/>
            </w:r>
            <w:r w:rsidR="00164BED">
              <w:rPr>
                <w:noProof/>
                <w:webHidden/>
              </w:rPr>
              <w:t>13</w:t>
            </w:r>
            <w:r w:rsidR="00CC64FE" w:rsidRPr="00677889">
              <w:rPr>
                <w:noProof/>
                <w:webHidden/>
              </w:rPr>
              <w:fldChar w:fldCharType="end"/>
            </w:r>
          </w:hyperlink>
        </w:p>
        <w:p w14:paraId="073D2E89" w14:textId="77777777" w:rsidR="00CC64FE" w:rsidRPr="00677889" w:rsidRDefault="00D159D8" w:rsidP="00845054">
          <w:pPr>
            <w:pStyle w:val="TOC2"/>
            <w:ind w:left="1287"/>
            <w:rPr>
              <w:rFonts w:asciiTheme="minorHAnsi" w:eastAsiaTheme="minorEastAsia" w:hAnsiTheme="minorHAnsi" w:cstheme="minorBidi"/>
              <w:noProof/>
              <w:color w:val="auto"/>
              <w:sz w:val="22"/>
              <w:szCs w:val="22"/>
              <w:lang w:val="en-US"/>
            </w:rPr>
          </w:pPr>
          <w:hyperlink w:anchor="_Toc446242271" w:history="1">
            <w:r w:rsidR="00CC64FE" w:rsidRPr="00677889">
              <w:rPr>
                <w:rStyle w:val="Hyperlink"/>
                <w:noProof/>
              </w:rPr>
              <w:t>STANDARD 4 – THE STUDENT EXPERIENCE</w:t>
            </w:r>
            <w:r w:rsidR="00CC64FE" w:rsidRPr="00677889">
              <w:rPr>
                <w:noProof/>
                <w:webHidden/>
              </w:rPr>
              <w:tab/>
            </w:r>
            <w:r w:rsidR="00CC64FE" w:rsidRPr="00677889">
              <w:rPr>
                <w:noProof/>
                <w:webHidden/>
              </w:rPr>
              <w:fldChar w:fldCharType="begin"/>
            </w:r>
            <w:r w:rsidR="00CC64FE" w:rsidRPr="00677889">
              <w:rPr>
                <w:noProof/>
                <w:webHidden/>
              </w:rPr>
              <w:instrText xml:space="preserve"> PAGEREF _Toc446242271 \h </w:instrText>
            </w:r>
            <w:r w:rsidR="00CC64FE" w:rsidRPr="00677889">
              <w:rPr>
                <w:noProof/>
                <w:webHidden/>
              </w:rPr>
            </w:r>
            <w:r w:rsidR="00CC64FE" w:rsidRPr="00677889">
              <w:rPr>
                <w:noProof/>
                <w:webHidden/>
              </w:rPr>
              <w:fldChar w:fldCharType="separate"/>
            </w:r>
            <w:r w:rsidR="00164BED">
              <w:rPr>
                <w:noProof/>
                <w:webHidden/>
              </w:rPr>
              <w:t>14</w:t>
            </w:r>
            <w:r w:rsidR="00CC64FE" w:rsidRPr="00677889">
              <w:rPr>
                <w:noProof/>
                <w:webHidden/>
              </w:rPr>
              <w:fldChar w:fldCharType="end"/>
            </w:r>
          </w:hyperlink>
        </w:p>
        <w:p w14:paraId="512EE674" w14:textId="77777777" w:rsidR="00CC64FE" w:rsidRPr="00677889" w:rsidRDefault="00D159D8" w:rsidP="00845054">
          <w:pPr>
            <w:pStyle w:val="TOC2"/>
            <w:ind w:left="1287"/>
            <w:rPr>
              <w:rFonts w:asciiTheme="minorHAnsi" w:eastAsiaTheme="minorEastAsia" w:hAnsiTheme="minorHAnsi" w:cstheme="minorBidi"/>
              <w:noProof/>
              <w:color w:val="auto"/>
              <w:sz w:val="22"/>
              <w:szCs w:val="22"/>
              <w:lang w:val="en-US"/>
            </w:rPr>
          </w:pPr>
          <w:hyperlink w:anchor="_Toc446242273" w:history="1">
            <w:r w:rsidR="00CC64FE" w:rsidRPr="00677889">
              <w:rPr>
                <w:rStyle w:val="Hyperlink"/>
                <w:noProof/>
              </w:rPr>
              <w:t>STANDARD 5 – STUDENT ASSESSMENT</w:t>
            </w:r>
            <w:r w:rsidR="00CC64FE" w:rsidRPr="00677889">
              <w:rPr>
                <w:noProof/>
                <w:webHidden/>
              </w:rPr>
              <w:tab/>
            </w:r>
            <w:r w:rsidR="00CC64FE" w:rsidRPr="00677889">
              <w:rPr>
                <w:noProof/>
                <w:webHidden/>
              </w:rPr>
              <w:fldChar w:fldCharType="begin"/>
            </w:r>
            <w:r w:rsidR="00CC64FE" w:rsidRPr="00677889">
              <w:rPr>
                <w:noProof/>
                <w:webHidden/>
              </w:rPr>
              <w:instrText xml:space="preserve"> PAGEREF _Toc446242273 \h </w:instrText>
            </w:r>
            <w:r w:rsidR="00CC64FE" w:rsidRPr="00677889">
              <w:rPr>
                <w:noProof/>
                <w:webHidden/>
              </w:rPr>
            </w:r>
            <w:r w:rsidR="00CC64FE" w:rsidRPr="00677889">
              <w:rPr>
                <w:noProof/>
                <w:webHidden/>
              </w:rPr>
              <w:fldChar w:fldCharType="separate"/>
            </w:r>
            <w:r w:rsidR="00164BED">
              <w:rPr>
                <w:noProof/>
                <w:webHidden/>
              </w:rPr>
              <w:t>15</w:t>
            </w:r>
            <w:r w:rsidR="00CC64FE" w:rsidRPr="00677889">
              <w:rPr>
                <w:noProof/>
                <w:webHidden/>
              </w:rPr>
              <w:fldChar w:fldCharType="end"/>
            </w:r>
          </w:hyperlink>
        </w:p>
        <w:p w14:paraId="0F4BE22F" w14:textId="77777777" w:rsidR="00CC64FE" w:rsidRPr="00677889" w:rsidRDefault="00D159D8" w:rsidP="00CC64FE">
          <w:pPr>
            <w:pStyle w:val="TOC1"/>
            <w:spacing w:before="240"/>
            <w:rPr>
              <w:rFonts w:asciiTheme="minorHAnsi" w:eastAsiaTheme="minorEastAsia" w:hAnsiTheme="minorHAnsi" w:cstheme="minorBidi"/>
              <w:b w:val="0"/>
              <w:noProof/>
              <w:color w:val="auto"/>
              <w:sz w:val="22"/>
              <w:szCs w:val="22"/>
              <w:lang w:val="en-US"/>
            </w:rPr>
          </w:pPr>
          <w:hyperlink w:anchor="_Toc446242275" w:history="1">
            <w:r w:rsidR="00CC64FE" w:rsidRPr="00677889">
              <w:rPr>
                <w:rStyle w:val="Hyperlink"/>
                <w:noProof/>
                <w:lang w:val="en-US"/>
              </w:rPr>
              <w:t>COMPETENCY STANDARDS</w:t>
            </w:r>
            <w:r w:rsidR="00CC64FE" w:rsidRPr="00677889">
              <w:rPr>
                <w:noProof/>
                <w:webHidden/>
              </w:rPr>
              <w:tab/>
            </w:r>
            <w:r w:rsidR="00CC64FE" w:rsidRPr="00677889">
              <w:rPr>
                <w:noProof/>
                <w:webHidden/>
              </w:rPr>
              <w:fldChar w:fldCharType="begin"/>
            </w:r>
            <w:r w:rsidR="00CC64FE" w:rsidRPr="00677889">
              <w:rPr>
                <w:noProof/>
                <w:webHidden/>
              </w:rPr>
              <w:instrText xml:space="preserve"> PAGEREF _Toc446242275 \h </w:instrText>
            </w:r>
            <w:r w:rsidR="00CC64FE" w:rsidRPr="00677889">
              <w:rPr>
                <w:noProof/>
                <w:webHidden/>
              </w:rPr>
            </w:r>
            <w:r w:rsidR="00CC64FE" w:rsidRPr="00677889">
              <w:rPr>
                <w:noProof/>
                <w:webHidden/>
              </w:rPr>
              <w:fldChar w:fldCharType="separate"/>
            </w:r>
            <w:r w:rsidR="00164BED">
              <w:rPr>
                <w:noProof/>
                <w:webHidden/>
              </w:rPr>
              <w:t>16</w:t>
            </w:r>
            <w:r w:rsidR="00CC64FE" w:rsidRPr="00677889">
              <w:rPr>
                <w:noProof/>
                <w:webHidden/>
              </w:rPr>
              <w:fldChar w:fldCharType="end"/>
            </w:r>
          </w:hyperlink>
        </w:p>
        <w:p w14:paraId="6D30EA15" w14:textId="77777777" w:rsidR="00CC64FE" w:rsidRPr="00677889" w:rsidRDefault="00D159D8" w:rsidP="00845054">
          <w:pPr>
            <w:pStyle w:val="TOC2"/>
            <w:ind w:left="1134"/>
            <w:rPr>
              <w:rFonts w:asciiTheme="minorHAnsi" w:eastAsiaTheme="minorEastAsia" w:hAnsiTheme="minorHAnsi" w:cstheme="minorBidi"/>
              <w:noProof/>
              <w:color w:val="auto"/>
              <w:sz w:val="22"/>
              <w:szCs w:val="22"/>
              <w:lang w:val="en-US"/>
            </w:rPr>
          </w:pPr>
          <w:hyperlink w:anchor="_Toc446242276" w:history="1">
            <w:r w:rsidR="00CC64FE" w:rsidRPr="00677889">
              <w:rPr>
                <w:rStyle w:val="Hyperlink"/>
                <w:noProof/>
                <w:lang w:val="en-US"/>
              </w:rPr>
              <w:t>Competency Standards Model</w:t>
            </w:r>
            <w:r w:rsidR="00CC64FE" w:rsidRPr="00677889">
              <w:rPr>
                <w:noProof/>
                <w:webHidden/>
              </w:rPr>
              <w:tab/>
            </w:r>
            <w:r w:rsidR="00CC64FE" w:rsidRPr="00677889">
              <w:rPr>
                <w:noProof/>
                <w:webHidden/>
              </w:rPr>
              <w:fldChar w:fldCharType="begin"/>
            </w:r>
            <w:r w:rsidR="00CC64FE" w:rsidRPr="00677889">
              <w:rPr>
                <w:noProof/>
                <w:webHidden/>
              </w:rPr>
              <w:instrText xml:space="preserve"> PAGEREF _Toc446242276 \h </w:instrText>
            </w:r>
            <w:r w:rsidR="00CC64FE" w:rsidRPr="00677889">
              <w:rPr>
                <w:noProof/>
                <w:webHidden/>
              </w:rPr>
            </w:r>
            <w:r w:rsidR="00CC64FE" w:rsidRPr="00677889">
              <w:rPr>
                <w:noProof/>
                <w:webHidden/>
              </w:rPr>
              <w:fldChar w:fldCharType="separate"/>
            </w:r>
            <w:r w:rsidR="00164BED">
              <w:rPr>
                <w:noProof/>
                <w:webHidden/>
              </w:rPr>
              <w:t>16</w:t>
            </w:r>
            <w:r w:rsidR="00CC64FE" w:rsidRPr="00677889">
              <w:rPr>
                <w:noProof/>
                <w:webHidden/>
              </w:rPr>
              <w:fldChar w:fldCharType="end"/>
            </w:r>
          </w:hyperlink>
        </w:p>
        <w:p w14:paraId="08910CA3" w14:textId="77777777" w:rsidR="00CC64FE" w:rsidRPr="00677889" w:rsidRDefault="00D159D8" w:rsidP="00845054">
          <w:pPr>
            <w:pStyle w:val="TOC2"/>
            <w:ind w:left="1134"/>
            <w:rPr>
              <w:rFonts w:asciiTheme="minorHAnsi" w:eastAsiaTheme="minorEastAsia" w:hAnsiTheme="minorHAnsi" w:cstheme="minorBidi"/>
              <w:noProof/>
              <w:color w:val="auto"/>
              <w:sz w:val="22"/>
              <w:szCs w:val="22"/>
              <w:lang w:val="en-US"/>
            </w:rPr>
          </w:pPr>
          <w:hyperlink w:anchor="_Toc446242277" w:history="1">
            <w:r w:rsidR="00CC64FE" w:rsidRPr="00677889">
              <w:rPr>
                <w:rStyle w:val="Hyperlink"/>
                <w:noProof/>
                <w:lang w:val="en-US"/>
              </w:rPr>
              <w:t>Competency Standards</w:t>
            </w:r>
            <w:r w:rsidR="00CC64FE" w:rsidRPr="00677889">
              <w:rPr>
                <w:noProof/>
                <w:webHidden/>
              </w:rPr>
              <w:tab/>
            </w:r>
            <w:r w:rsidR="00CC64FE" w:rsidRPr="00677889">
              <w:rPr>
                <w:noProof/>
                <w:webHidden/>
              </w:rPr>
              <w:fldChar w:fldCharType="begin"/>
            </w:r>
            <w:r w:rsidR="00CC64FE" w:rsidRPr="00677889">
              <w:rPr>
                <w:noProof/>
                <w:webHidden/>
              </w:rPr>
              <w:instrText xml:space="preserve"> PAGEREF _Toc446242277 \h </w:instrText>
            </w:r>
            <w:r w:rsidR="00CC64FE" w:rsidRPr="00677889">
              <w:rPr>
                <w:noProof/>
                <w:webHidden/>
              </w:rPr>
            </w:r>
            <w:r w:rsidR="00CC64FE" w:rsidRPr="00677889">
              <w:rPr>
                <w:noProof/>
                <w:webHidden/>
              </w:rPr>
              <w:fldChar w:fldCharType="separate"/>
            </w:r>
            <w:r w:rsidR="00164BED">
              <w:rPr>
                <w:noProof/>
                <w:webHidden/>
              </w:rPr>
              <w:t>17</w:t>
            </w:r>
            <w:r w:rsidR="00CC64FE" w:rsidRPr="00677889">
              <w:rPr>
                <w:noProof/>
                <w:webHidden/>
              </w:rPr>
              <w:fldChar w:fldCharType="end"/>
            </w:r>
          </w:hyperlink>
        </w:p>
        <w:p w14:paraId="3F9E76FF" w14:textId="77777777" w:rsidR="00CC64FE" w:rsidRPr="00677889" w:rsidRDefault="00D159D8" w:rsidP="00845054">
          <w:pPr>
            <w:pStyle w:val="TOC2"/>
            <w:ind w:left="1287"/>
            <w:rPr>
              <w:rFonts w:asciiTheme="minorHAnsi" w:eastAsiaTheme="minorEastAsia" w:hAnsiTheme="minorHAnsi" w:cstheme="minorBidi"/>
              <w:noProof/>
              <w:color w:val="auto"/>
              <w:sz w:val="22"/>
              <w:szCs w:val="22"/>
              <w:lang w:val="en-US"/>
            </w:rPr>
          </w:pPr>
          <w:hyperlink w:anchor="_Toc446242278" w:history="1">
            <w:r w:rsidR="00CC64FE" w:rsidRPr="00677889">
              <w:rPr>
                <w:rStyle w:val="Hyperlink"/>
                <w:noProof/>
                <w:lang w:val="en-US"/>
              </w:rPr>
              <w:t>UNIVERSAL COMPETENCY 1 – PRACTISING PROFESSIONALLY</w:t>
            </w:r>
            <w:r w:rsidR="00CC64FE" w:rsidRPr="00677889">
              <w:rPr>
                <w:noProof/>
                <w:webHidden/>
              </w:rPr>
              <w:tab/>
            </w:r>
            <w:r w:rsidR="00CC64FE" w:rsidRPr="00677889">
              <w:rPr>
                <w:noProof/>
                <w:webHidden/>
              </w:rPr>
              <w:fldChar w:fldCharType="begin"/>
            </w:r>
            <w:r w:rsidR="00CC64FE" w:rsidRPr="00677889">
              <w:rPr>
                <w:noProof/>
                <w:webHidden/>
              </w:rPr>
              <w:instrText xml:space="preserve"> PAGEREF _Toc446242278 \h </w:instrText>
            </w:r>
            <w:r w:rsidR="00CC64FE" w:rsidRPr="00677889">
              <w:rPr>
                <w:noProof/>
                <w:webHidden/>
              </w:rPr>
            </w:r>
            <w:r w:rsidR="00CC64FE" w:rsidRPr="00677889">
              <w:rPr>
                <w:noProof/>
                <w:webHidden/>
              </w:rPr>
              <w:fldChar w:fldCharType="separate"/>
            </w:r>
            <w:r w:rsidR="00164BED">
              <w:rPr>
                <w:noProof/>
                <w:webHidden/>
              </w:rPr>
              <w:t>18</w:t>
            </w:r>
            <w:r w:rsidR="00CC64FE" w:rsidRPr="00677889">
              <w:rPr>
                <w:noProof/>
                <w:webHidden/>
              </w:rPr>
              <w:fldChar w:fldCharType="end"/>
            </w:r>
          </w:hyperlink>
        </w:p>
        <w:p w14:paraId="3D47EDCD" w14:textId="77777777" w:rsidR="00CC64FE" w:rsidRPr="00677889" w:rsidRDefault="00D159D8" w:rsidP="00845054">
          <w:pPr>
            <w:pStyle w:val="TOC2"/>
            <w:ind w:left="720" w:firstLine="0"/>
            <w:rPr>
              <w:rFonts w:asciiTheme="minorHAnsi" w:eastAsiaTheme="minorEastAsia" w:hAnsiTheme="minorHAnsi" w:cstheme="minorBidi"/>
              <w:noProof/>
              <w:color w:val="auto"/>
              <w:sz w:val="22"/>
              <w:szCs w:val="22"/>
              <w:lang w:val="en-US"/>
            </w:rPr>
          </w:pPr>
          <w:hyperlink w:anchor="_Toc446242281" w:history="1">
            <w:r w:rsidR="00CC64FE" w:rsidRPr="00677889">
              <w:rPr>
                <w:rStyle w:val="Hyperlink"/>
                <w:noProof/>
                <w:lang w:val="en-US"/>
              </w:rPr>
              <w:t>UNIVERSAL COMPETENCY 2 – COMMUNICATION, COLLABORATION AND LEADERSHIP</w:t>
            </w:r>
            <w:r w:rsidR="00CC64FE" w:rsidRPr="00677889">
              <w:rPr>
                <w:noProof/>
                <w:webHidden/>
              </w:rPr>
              <w:tab/>
            </w:r>
            <w:r w:rsidR="00CC64FE" w:rsidRPr="00677889">
              <w:rPr>
                <w:noProof/>
                <w:webHidden/>
              </w:rPr>
              <w:fldChar w:fldCharType="begin"/>
            </w:r>
            <w:r w:rsidR="00CC64FE" w:rsidRPr="00677889">
              <w:rPr>
                <w:noProof/>
                <w:webHidden/>
              </w:rPr>
              <w:instrText xml:space="preserve"> PAGEREF _Toc446242281 \h </w:instrText>
            </w:r>
            <w:r w:rsidR="00CC64FE" w:rsidRPr="00677889">
              <w:rPr>
                <w:noProof/>
                <w:webHidden/>
              </w:rPr>
            </w:r>
            <w:r w:rsidR="00CC64FE" w:rsidRPr="00677889">
              <w:rPr>
                <w:noProof/>
                <w:webHidden/>
              </w:rPr>
              <w:fldChar w:fldCharType="separate"/>
            </w:r>
            <w:r w:rsidR="00164BED">
              <w:rPr>
                <w:noProof/>
                <w:webHidden/>
              </w:rPr>
              <w:t>20</w:t>
            </w:r>
            <w:r w:rsidR="00CC64FE" w:rsidRPr="00677889">
              <w:rPr>
                <w:noProof/>
                <w:webHidden/>
              </w:rPr>
              <w:fldChar w:fldCharType="end"/>
            </w:r>
          </w:hyperlink>
        </w:p>
        <w:p w14:paraId="0B7AB129" w14:textId="77777777" w:rsidR="00CC64FE" w:rsidRPr="00677889" w:rsidRDefault="00D159D8" w:rsidP="00845054">
          <w:pPr>
            <w:pStyle w:val="TOC2"/>
            <w:ind w:left="1287"/>
            <w:rPr>
              <w:rFonts w:asciiTheme="minorHAnsi" w:eastAsiaTheme="minorEastAsia" w:hAnsiTheme="minorHAnsi" w:cstheme="minorBidi"/>
              <w:noProof/>
              <w:color w:val="auto"/>
              <w:sz w:val="22"/>
              <w:szCs w:val="22"/>
              <w:lang w:val="en-US"/>
            </w:rPr>
          </w:pPr>
          <w:hyperlink w:anchor="_Toc446242284" w:history="1">
            <w:r w:rsidR="00CC64FE" w:rsidRPr="00677889">
              <w:rPr>
                <w:rStyle w:val="Hyperlink"/>
                <w:noProof/>
                <w:lang w:val="en-US"/>
              </w:rPr>
              <w:t>PRACTICE COMPETENCY 3 – CLINICAL ASSESSMENT</w:t>
            </w:r>
            <w:r w:rsidR="00CC64FE" w:rsidRPr="00677889">
              <w:rPr>
                <w:noProof/>
                <w:webHidden/>
              </w:rPr>
              <w:tab/>
            </w:r>
            <w:r w:rsidR="00CC64FE" w:rsidRPr="00677889">
              <w:rPr>
                <w:noProof/>
                <w:webHidden/>
              </w:rPr>
              <w:fldChar w:fldCharType="begin"/>
            </w:r>
            <w:r w:rsidR="00CC64FE" w:rsidRPr="00677889">
              <w:rPr>
                <w:noProof/>
                <w:webHidden/>
              </w:rPr>
              <w:instrText xml:space="preserve"> PAGEREF _Toc446242284 \h </w:instrText>
            </w:r>
            <w:r w:rsidR="00CC64FE" w:rsidRPr="00677889">
              <w:rPr>
                <w:noProof/>
                <w:webHidden/>
              </w:rPr>
            </w:r>
            <w:r w:rsidR="00CC64FE" w:rsidRPr="00677889">
              <w:rPr>
                <w:noProof/>
                <w:webHidden/>
              </w:rPr>
              <w:fldChar w:fldCharType="separate"/>
            </w:r>
            <w:r w:rsidR="00164BED">
              <w:rPr>
                <w:noProof/>
                <w:webHidden/>
              </w:rPr>
              <w:t>22</w:t>
            </w:r>
            <w:r w:rsidR="00CC64FE" w:rsidRPr="00677889">
              <w:rPr>
                <w:noProof/>
                <w:webHidden/>
              </w:rPr>
              <w:fldChar w:fldCharType="end"/>
            </w:r>
          </w:hyperlink>
        </w:p>
        <w:p w14:paraId="7CEB23A5" w14:textId="77777777" w:rsidR="00CC64FE" w:rsidRPr="00677889" w:rsidRDefault="00D159D8" w:rsidP="00845054">
          <w:pPr>
            <w:pStyle w:val="TOC2"/>
            <w:ind w:left="1287"/>
            <w:rPr>
              <w:rFonts w:asciiTheme="minorHAnsi" w:eastAsiaTheme="minorEastAsia" w:hAnsiTheme="minorHAnsi" w:cstheme="minorBidi"/>
              <w:noProof/>
              <w:color w:val="auto"/>
              <w:sz w:val="22"/>
              <w:szCs w:val="22"/>
              <w:lang w:val="en-US"/>
            </w:rPr>
          </w:pPr>
          <w:hyperlink w:anchor="_Toc446242287" w:history="1">
            <w:r w:rsidR="00CC64FE" w:rsidRPr="00677889">
              <w:rPr>
                <w:rStyle w:val="Hyperlink"/>
                <w:noProof/>
                <w:lang w:val="en-US"/>
              </w:rPr>
              <w:t>PRACTICE COMPETENCY 4 – PLANNING CARE</w:t>
            </w:r>
            <w:r w:rsidR="00CC64FE" w:rsidRPr="00677889">
              <w:rPr>
                <w:noProof/>
                <w:webHidden/>
              </w:rPr>
              <w:tab/>
            </w:r>
            <w:r w:rsidR="00CC64FE" w:rsidRPr="00677889">
              <w:rPr>
                <w:noProof/>
                <w:webHidden/>
              </w:rPr>
              <w:fldChar w:fldCharType="begin"/>
            </w:r>
            <w:r w:rsidR="00CC64FE" w:rsidRPr="00677889">
              <w:rPr>
                <w:noProof/>
                <w:webHidden/>
              </w:rPr>
              <w:instrText xml:space="preserve"> PAGEREF _Toc446242287 \h </w:instrText>
            </w:r>
            <w:r w:rsidR="00CC64FE" w:rsidRPr="00677889">
              <w:rPr>
                <w:noProof/>
                <w:webHidden/>
              </w:rPr>
            </w:r>
            <w:r w:rsidR="00CC64FE" w:rsidRPr="00677889">
              <w:rPr>
                <w:noProof/>
                <w:webHidden/>
              </w:rPr>
              <w:fldChar w:fldCharType="separate"/>
            </w:r>
            <w:r w:rsidR="00164BED">
              <w:rPr>
                <w:noProof/>
                <w:webHidden/>
              </w:rPr>
              <w:t>24</w:t>
            </w:r>
            <w:r w:rsidR="00CC64FE" w:rsidRPr="00677889">
              <w:rPr>
                <w:noProof/>
                <w:webHidden/>
              </w:rPr>
              <w:fldChar w:fldCharType="end"/>
            </w:r>
          </w:hyperlink>
        </w:p>
        <w:p w14:paraId="63C36228" w14:textId="77777777" w:rsidR="00CC64FE" w:rsidRPr="00677889" w:rsidRDefault="00D159D8" w:rsidP="00845054">
          <w:pPr>
            <w:pStyle w:val="TOC2"/>
            <w:ind w:left="720" w:firstLine="0"/>
            <w:rPr>
              <w:rFonts w:asciiTheme="minorHAnsi" w:eastAsiaTheme="minorEastAsia" w:hAnsiTheme="minorHAnsi" w:cstheme="minorBidi"/>
              <w:noProof/>
              <w:color w:val="auto"/>
              <w:sz w:val="22"/>
              <w:szCs w:val="22"/>
              <w:lang w:val="en-US"/>
            </w:rPr>
          </w:pPr>
          <w:hyperlink w:anchor="_Toc446242290" w:history="1">
            <w:r w:rsidR="00CC64FE" w:rsidRPr="00677889">
              <w:rPr>
                <w:rStyle w:val="Hyperlink"/>
                <w:noProof/>
                <w:lang w:val="en-US"/>
              </w:rPr>
              <w:t>PRACTICE COMPETENCY 5 – IMPLEMENTING, MONITORING AND EVALUATING CARE</w:t>
            </w:r>
            <w:r w:rsidR="00CC64FE" w:rsidRPr="00677889">
              <w:rPr>
                <w:noProof/>
                <w:webHidden/>
              </w:rPr>
              <w:tab/>
            </w:r>
            <w:r w:rsidR="00CC64FE" w:rsidRPr="00677889">
              <w:rPr>
                <w:noProof/>
                <w:webHidden/>
              </w:rPr>
              <w:fldChar w:fldCharType="begin"/>
            </w:r>
            <w:r w:rsidR="00CC64FE" w:rsidRPr="00677889">
              <w:rPr>
                <w:noProof/>
                <w:webHidden/>
              </w:rPr>
              <w:instrText xml:space="preserve"> PAGEREF _Toc446242290 \h </w:instrText>
            </w:r>
            <w:r w:rsidR="00CC64FE" w:rsidRPr="00677889">
              <w:rPr>
                <w:noProof/>
                <w:webHidden/>
              </w:rPr>
            </w:r>
            <w:r w:rsidR="00CC64FE" w:rsidRPr="00677889">
              <w:rPr>
                <w:noProof/>
                <w:webHidden/>
              </w:rPr>
              <w:fldChar w:fldCharType="separate"/>
            </w:r>
            <w:r w:rsidR="00164BED">
              <w:rPr>
                <w:noProof/>
                <w:webHidden/>
              </w:rPr>
              <w:t>25</w:t>
            </w:r>
            <w:r w:rsidR="00CC64FE" w:rsidRPr="00677889">
              <w:rPr>
                <w:noProof/>
                <w:webHidden/>
              </w:rPr>
              <w:fldChar w:fldCharType="end"/>
            </w:r>
          </w:hyperlink>
        </w:p>
        <w:p w14:paraId="5999840D" w14:textId="77777777" w:rsidR="00CC64FE" w:rsidRPr="00677889" w:rsidRDefault="00D159D8" w:rsidP="00CC64FE">
          <w:pPr>
            <w:pStyle w:val="TOC1"/>
            <w:spacing w:before="240"/>
            <w:rPr>
              <w:rFonts w:asciiTheme="minorHAnsi" w:eastAsiaTheme="minorEastAsia" w:hAnsiTheme="minorHAnsi" w:cstheme="minorBidi"/>
              <w:b w:val="0"/>
              <w:noProof/>
              <w:color w:val="auto"/>
              <w:sz w:val="22"/>
              <w:szCs w:val="22"/>
              <w:lang w:val="en-US"/>
            </w:rPr>
          </w:pPr>
          <w:hyperlink w:anchor="_Toc446242293" w:history="1">
            <w:r w:rsidR="00CC64FE" w:rsidRPr="00677889">
              <w:rPr>
                <w:rStyle w:val="Hyperlink"/>
                <w:noProof/>
              </w:rPr>
              <w:t>APPENDIX 1</w:t>
            </w:r>
            <w:r w:rsidR="00CB5913" w:rsidRPr="00677889">
              <w:rPr>
                <w:rStyle w:val="Hyperlink"/>
                <w:noProof/>
              </w:rPr>
              <w:t xml:space="preserve"> –</w:t>
            </w:r>
            <w:r w:rsidR="00CC64FE" w:rsidRPr="00677889">
              <w:rPr>
                <w:rStyle w:val="Hyperlink"/>
                <w:noProof/>
              </w:rPr>
              <w:t xml:space="preserve"> ACRONYMS</w:t>
            </w:r>
            <w:r w:rsidR="00CB5913" w:rsidRPr="00677889">
              <w:rPr>
                <w:rStyle w:val="Hyperlink"/>
                <w:noProof/>
              </w:rPr>
              <w:t xml:space="preserve"> </w:t>
            </w:r>
            <w:r w:rsidR="00CC64FE" w:rsidRPr="00677889">
              <w:rPr>
                <w:rStyle w:val="Hyperlink"/>
                <w:noProof/>
              </w:rPr>
              <w:t>AND ABBREVIATIONS</w:t>
            </w:r>
            <w:r w:rsidR="00CC64FE" w:rsidRPr="00677889">
              <w:rPr>
                <w:noProof/>
                <w:webHidden/>
              </w:rPr>
              <w:tab/>
            </w:r>
            <w:r w:rsidR="00CC64FE" w:rsidRPr="00677889">
              <w:rPr>
                <w:noProof/>
                <w:webHidden/>
              </w:rPr>
              <w:fldChar w:fldCharType="begin"/>
            </w:r>
            <w:r w:rsidR="00CC64FE" w:rsidRPr="00677889">
              <w:rPr>
                <w:noProof/>
                <w:webHidden/>
              </w:rPr>
              <w:instrText xml:space="preserve"> PAGEREF _Toc446242293 \h </w:instrText>
            </w:r>
            <w:r w:rsidR="00CC64FE" w:rsidRPr="00677889">
              <w:rPr>
                <w:noProof/>
                <w:webHidden/>
              </w:rPr>
            </w:r>
            <w:r w:rsidR="00CC64FE" w:rsidRPr="00677889">
              <w:rPr>
                <w:noProof/>
                <w:webHidden/>
              </w:rPr>
              <w:fldChar w:fldCharType="separate"/>
            </w:r>
            <w:r w:rsidR="00164BED">
              <w:rPr>
                <w:noProof/>
                <w:webHidden/>
              </w:rPr>
              <w:t>26</w:t>
            </w:r>
            <w:r w:rsidR="00CC64FE" w:rsidRPr="00677889">
              <w:rPr>
                <w:noProof/>
                <w:webHidden/>
              </w:rPr>
              <w:fldChar w:fldCharType="end"/>
            </w:r>
          </w:hyperlink>
        </w:p>
        <w:p w14:paraId="716BD9A9" w14:textId="77777777" w:rsidR="00CC64FE" w:rsidRPr="00677889" w:rsidRDefault="00D159D8">
          <w:pPr>
            <w:pStyle w:val="TOC1"/>
            <w:rPr>
              <w:rFonts w:asciiTheme="minorHAnsi" w:eastAsiaTheme="minorEastAsia" w:hAnsiTheme="minorHAnsi" w:cstheme="minorBidi"/>
              <w:b w:val="0"/>
              <w:noProof/>
              <w:color w:val="auto"/>
              <w:sz w:val="22"/>
              <w:szCs w:val="22"/>
              <w:lang w:val="en-US"/>
            </w:rPr>
          </w:pPr>
          <w:hyperlink w:anchor="_Toc446242294" w:history="1">
            <w:r w:rsidR="00CC64FE" w:rsidRPr="00677889">
              <w:rPr>
                <w:rStyle w:val="Hyperlink"/>
                <w:noProof/>
              </w:rPr>
              <w:t xml:space="preserve">APPENDIX 2 </w:t>
            </w:r>
            <w:r w:rsidR="00CB5913" w:rsidRPr="00677889">
              <w:rPr>
                <w:rStyle w:val="Hyperlink"/>
                <w:noProof/>
              </w:rPr>
              <w:t>–</w:t>
            </w:r>
            <w:r w:rsidR="00CC64FE" w:rsidRPr="00677889">
              <w:rPr>
                <w:rStyle w:val="Hyperlink"/>
                <w:noProof/>
              </w:rPr>
              <w:t xml:space="preserve"> GLOSSARY</w:t>
            </w:r>
            <w:r w:rsidR="00CC64FE" w:rsidRPr="00677889">
              <w:rPr>
                <w:noProof/>
                <w:webHidden/>
              </w:rPr>
              <w:tab/>
            </w:r>
            <w:r w:rsidR="00CC64FE" w:rsidRPr="00677889">
              <w:rPr>
                <w:noProof/>
                <w:webHidden/>
              </w:rPr>
              <w:fldChar w:fldCharType="begin"/>
            </w:r>
            <w:r w:rsidR="00CC64FE" w:rsidRPr="00677889">
              <w:rPr>
                <w:noProof/>
                <w:webHidden/>
              </w:rPr>
              <w:instrText xml:space="preserve"> PAGEREF _Toc446242294 \h </w:instrText>
            </w:r>
            <w:r w:rsidR="00CC64FE" w:rsidRPr="00677889">
              <w:rPr>
                <w:noProof/>
                <w:webHidden/>
              </w:rPr>
            </w:r>
            <w:r w:rsidR="00CC64FE" w:rsidRPr="00677889">
              <w:rPr>
                <w:noProof/>
                <w:webHidden/>
              </w:rPr>
              <w:fldChar w:fldCharType="separate"/>
            </w:r>
            <w:r w:rsidR="00164BED">
              <w:rPr>
                <w:noProof/>
                <w:webHidden/>
              </w:rPr>
              <w:t>27</w:t>
            </w:r>
            <w:r w:rsidR="00CC64FE" w:rsidRPr="00677889">
              <w:rPr>
                <w:noProof/>
                <w:webHidden/>
              </w:rPr>
              <w:fldChar w:fldCharType="end"/>
            </w:r>
          </w:hyperlink>
        </w:p>
        <w:p w14:paraId="518A1AA9" w14:textId="77777777" w:rsidR="00CC64FE" w:rsidRPr="00677889" w:rsidRDefault="00D159D8">
          <w:pPr>
            <w:pStyle w:val="TOC1"/>
            <w:rPr>
              <w:rFonts w:asciiTheme="minorHAnsi" w:eastAsiaTheme="minorEastAsia" w:hAnsiTheme="minorHAnsi" w:cstheme="minorBidi"/>
              <w:b w:val="0"/>
              <w:noProof/>
              <w:color w:val="auto"/>
              <w:sz w:val="22"/>
              <w:szCs w:val="22"/>
              <w:lang w:val="en-US"/>
            </w:rPr>
          </w:pPr>
          <w:hyperlink w:anchor="_Toc446242295" w:history="1">
            <w:r w:rsidR="00CC64FE" w:rsidRPr="00677889">
              <w:rPr>
                <w:rStyle w:val="Hyperlink"/>
                <w:noProof/>
              </w:rPr>
              <w:t xml:space="preserve">APPENDIX 3 </w:t>
            </w:r>
            <w:r w:rsidR="00CB5913" w:rsidRPr="00677889">
              <w:rPr>
                <w:rStyle w:val="Hyperlink"/>
                <w:noProof/>
              </w:rPr>
              <w:t>–</w:t>
            </w:r>
            <w:r w:rsidR="00CC64FE" w:rsidRPr="00677889">
              <w:rPr>
                <w:rStyle w:val="Hyperlink"/>
                <w:noProof/>
              </w:rPr>
              <w:t xml:space="preserve"> REFERENCES</w:t>
            </w:r>
            <w:r w:rsidR="00CC64FE" w:rsidRPr="00677889">
              <w:rPr>
                <w:noProof/>
                <w:webHidden/>
              </w:rPr>
              <w:tab/>
            </w:r>
            <w:r w:rsidR="00CC64FE" w:rsidRPr="00677889">
              <w:rPr>
                <w:noProof/>
                <w:webHidden/>
              </w:rPr>
              <w:fldChar w:fldCharType="begin"/>
            </w:r>
            <w:r w:rsidR="00CC64FE" w:rsidRPr="00677889">
              <w:rPr>
                <w:noProof/>
                <w:webHidden/>
              </w:rPr>
              <w:instrText xml:space="preserve"> PAGEREF _Toc446242295 \h </w:instrText>
            </w:r>
            <w:r w:rsidR="00CC64FE" w:rsidRPr="00677889">
              <w:rPr>
                <w:noProof/>
                <w:webHidden/>
              </w:rPr>
            </w:r>
            <w:r w:rsidR="00CC64FE" w:rsidRPr="00677889">
              <w:rPr>
                <w:noProof/>
                <w:webHidden/>
              </w:rPr>
              <w:fldChar w:fldCharType="separate"/>
            </w:r>
            <w:r w:rsidR="00164BED">
              <w:rPr>
                <w:noProof/>
                <w:webHidden/>
              </w:rPr>
              <w:t>31</w:t>
            </w:r>
            <w:r w:rsidR="00CC64FE" w:rsidRPr="00677889">
              <w:rPr>
                <w:noProof/>
                <w:webHidden/>
              </w:rPr>
              <w:fldChar w:fldCharType="end"/>
            </w:r>
          </w:hyperlink>
        </w:p>
        <w:p w14:paraId="3A2D9F62" w14:textId="6E44E031" w:rsidR="00FF1660" w:rsidRPr="00677889" w:rsidRDefault="00FF1660">
          <w:pPr>
            <w:rPr>
              <w:szCs w:val="21"/>
            </w:rPr>
          </w:pPr>
          <w:r w:rsidRPr="00677889">
            <w:rPr>
              <w:b/>
              <w:bCs/>
              <w:noProof/>
              <w:szCs w:val="21"/>
            </w:rPr>
            <w:fldChar w:fldCharType="end"/>
          </w:r>
        </w:p>
      </w:sdtContent>
    </w:sdt>
    <w:p w14:paraId="03485237" w14:textId="77777777" w:rsidR="00FF1660" w:rsidRPr="00677889" w:rsidRDefault="00FF1660">
      <w:pPr>
        <w:keepLines w:val="0"/>
        <w:widowControl/>
        <w:spacing w:after="200"/>
        <w:rPr>
          <w:rStyle w:val="Hyperlink"/>
          <w:rFonts w:eastAsia="Arial Unicode MS"/>
          <w:b/>
          <w:szCs w:val="21"/>
        </w:rPr>
      </w:pPr>
      <w:r w:rsidRPr="00677889">
        <w:rPr>
          <w:rStyle w:val="Hyperlink"/>
          <w:rFonts w:eastAsia="Arial Unicode MS"/>
          <w:b/>
        </w:rPr>
        <w:br w:type="page"/>
      </w:r>
    </w:p>
    <w:p w14:paraId="0886B2C5" w14:textId="77777777" w:rsidR="00D931B6" w:rsidRPr="00677889" w:rsidRDefault="00D931B6" w:rsidP="00214C4F">
      <w:pPr>
        <w:pStyle w:val="BodyText"/>
        <w:rPr>
          <w:rStyle w:val="Hyperlink"/>
          <w:rFonts w:eastAsia="Arial Unicode MS"/>
          <w:b/>
        </w:rPr>
        <w:sectPr w:rsidR="00D931B6" w:rsidRPr="00677889" w:rsidSect="00E766C0">
          <w:headerReference w:type="even" r:id="rId14"/>
          <w:headerReference w:type="default" r:id="rId15"/>
          <w:footerReference w:type="default" r:id="rId16"/>
          <w:headerReference w:type="first" r:id="rId17"/>
          <w:footerReference w:type="first" r:id="rId18"/>
          <w:type w:val="continuous"/>
          <w:pgSz w:w="11907" w:h="16840" w:code="9"/>
          <w:pgMar w:top="1247" w:right="1418" w:bottom="964" w:left="1418" w:header="964" w:footer="571" w:gutter="0"/>
          <w:cols w:space="708"/>
          <w:docGrid w:linePitch="360"/>
        </w:sectPr>
      </w:pPr>
    </w:p>
    <w:p w14:paraId="3284D82E" w14:textId="77777777" w:rsidR="000A16A8" w:rsidRPr="00677889" w:rsidRDefault="000A16A8" w:rsidP="00D931B6">
      <w:pPr>
        <w:pStyle w:val="BodyText"/>
        <w:rPr>
          <w:rFonts w:eastAsia="Arial Unicode MS"/>
        </w:rPr>
      </w:pPr>
      <w:bookmarkStart w:id="7" w:name="_Toc419887187"/>
    </w:p>
    <w:p w14:paraId="2D66386A" w14:textId="77777777" w:rsidR="000A16A8" w:rsidRPr="00677889" w:rsidRDefault="000A16A8" w:rsidP="00D931B6">
      <w:pPr>
        <w:pStyle w:val="BodyText"/>
        <w:rPr>
          <w:rFonts w:eastAsia="Arial Unicode MS"/>
        </w:rPr>
      </w:pPr>
    </w:p>
    <w:p w14:paraId="458F11B0" w14:textId="77777777" w:rsidR="00D931B6" w:rsidRPr="00677889" w:rsidRDefault="00D931B6" w:rsidP="00D931B6">
      <w:pPr>
        <w:keepNext/>
        <w:keepLines w:val="0"/>
        <w:spacing w:line="240" w:lineRule="auto"/>
        <w:outlineLvl w:val="0"/>
        <w:rPr>
          <w:rFonts w:eastAsia="Arial Unicode MS"/>
          <w:b/>
          <w:color w:val="046E9C" w:themeColor="text2"/>
          <w:sz w:val="32"/>
          <w:szCs w:val="44"/>
        </w:rPr>
      </w:pPr>
      <w:bookmarkStart w:id="8" w:name="_Toc446242256"/>
      <w:r w:rsidRPr="00677889">
        <w:rPr>
          <w:rFonts w:eastAsia="Arial Unicode MS"/>
          <w:b/>
          <w:color w:val="046E9C" w:themeColor="text2"/>
          <w:sz w:val="32"/>
          <w:szCs w:val="44"/>
        </w:rPr>
        <w:t>ACKNOWLEDGEMENTS</w:t>
      </w:r>
      <w:bookmarkEnd w:id="7"/>
      <w:bookmarkEnd w:id="8"/>
    </w:p>
    <w:p w14:paraId="1CA66099" w14:textId="77777777" w:rsidR="00D931B6" w:rsidRPr="00677889" w:rsidRDefault="00C108FC" w:rsidP="00D931B6">
      <w:r w:rsidRPr="00677889">
        <w:t>These Accreditation and Competency Standards have</w:t>
      </w:r>
      <w:r w:rsidR="00D931B6" w:rsidRPr="00677889">
        <w:t xml:space="preserve"> been prepared for the Council on Chiropractic Education Australasia </w:t>
      </w:r>
      <w:r w:rsidR="008C176B" w:rsidRPr="00677889">
        <w:t xml:space="preserve">Ltd </w:t>
      </w:r>
      <w:r w:rsidR="00D931B6" w:rsidRPr="00677889">
        <w:t xml:space="preserve">(CCEA) </w:t>
      </w:r>
      <w:r w:rsidR="005A641F" w:rsidRPr="00677889">
        <w:t>by Amanda Adrian and Associates with the input, assistance and oversight of the Standards Review Steering Committee (the Steering Committee).</w:t>
      </w:r>
    </w:p>
    <w:p w14:paraId="35D48CAC" w14:textId="77777777" w:rsidR="00D931B6" w:rsidRPr="00677889" w:rsidRDefault="00D931B6" w:rsidP="00D931B6">
      <w:pPr>
        <w:rPr>
          <w:color w:val="auto"/>
        </w:rPr>
      </w:pPr>
      <w:r w:rsidRPr="00677889">
        <w:t xml:space="preserve">Acknowledgement is made of the expertise, time and commitment contributed by each member of the </w:t>
      </w:r>
      <w:r w:rsidR="0018649B" w:rsidRPr="00677889">
        <w:rPr>
          <w:color w:val="auto"/>
        </w:rPr>
        <w:t>Steering Committee</w:t>
      </w:r>
      <w:r w:rsidRPr="00677889">
        <w:rPr>
          <w:color w:val="auto"/>
        </w:rPr>
        <w:t>. The membership comprises:</w:t>
      </w:r>
      <w:r w:rsidR="00624805" w:rsidRPr="00677889">
        <w:rPr>
          <w:color w:val="auto"/>
        </w:rPr>
        <w:t xml:space="preserve"> </w:t>
      </w:r>
    </w:p>
    <w:p w14:paraId="36257A14" w14:textId="77777777" w:rsidR="00D931B6" w:rsidRPr="00677889" w:rsidRDefault="00D931B6" w:rsidP="007B45F6">
      <w:pPr>
        <w:pStyle w:val="BodyText"/>
        <w:spacing w:before="60"/>
      </w:pPr>
      <w:r w:rsidRPr="00677889">
        <w:rPr>
          <w:b/>
        </w:rPr>
        <w:t>Emeritus Professor Stefan Pallister</w:t>
      </w:r>
      <w:r w:rsidR="007B45F6" w:rsidRPr="00677889">
        <w:t xml:space="preserve"> DC, DipHA</w:t>
      </w:r>
      <w:r w:rsidRPr="00677889">
        <w:t xml:space="preserve"> – </w:t>
      </w:r>
      <w:r w:rsidR="007B45F6" w:rsidRPr="00677889">
        <w:t xml:space="preserve">Steering Committee </w:t>
      </w:r>
      <w:r w:rsidRPr="00677889">
        <w:t>Chair</w:t>
      </w:r>
    </w:p>
    <w:p w14:paraId="56C911B4" w14:textId="77777777" w:rsidR="00D931B6" w:rsidRPr="00677889" w:rsidRDefault="00D931B6" w:rsidP="00D931B6">
      <w:r w:rsidRPr="00677889">
        <w:rPr>
          <w:b/>
        </w:rPr>
        <w:t>Professor Don Byrne</w:t>
      </w:r>
      <w:r w:rsidR="007B45F6" w:rsidRPr="00677889">
        <w:t>,</w:t>
      </w:r>
      <w:r w:rsidR="009D6F78" w:rsidRPr="00677889">
        <w:t xml:space="preserve"> PhD (Adelaide), DrHC (NTNU, Norway), FASSA, FAPS</w:t>
      </w:r>
    </w:p>
    <w:p w14:paraId="7AB90852" w14:textId="77777777" w:rsidR="00D931B6" w:rsidRPr="00677889" w:rsidRDefault="00D931B6" w:rsidP="00D931B6">
      <w:r w:rsidRPr="00677889">
        <w:rPr>
          <w:b/>
        </w:rPr>
        <w:t>Dr Peter Cowie</w:t>
      </w:r>
      <w:r w:rsidR="007B45F6" w:rsidRPr="00677889">
        <w:t>, BAppSci. (Chiropractic), FICC, FACC</w:t>
      </w:r>
    </w:p>
    <w:p w14:paraId="27811B24" w14:textId="77777777" w:rsidR="00D931B6" w:rsidRPr="00677889" w:rsidRDefault="00D931B6" w:rsidP="00D931B6">
      <w:r w:rsidRPr="00677889">
        <w:rPr>
          <w:b/>
        </w:rPr>
        <w:t>Dr Rosemary Giuriato</w:t>
      </w:r>
      <w:r w:rsidR="007B45F6" w:rsidRPr="00677889">
        <w:t>, BSc, Grad Dip Chir, DO</w:t>
      </w:r>
    </w:p>
    <w:p w14:paraId="1EFAF68B" w14:textId="77777777" w:rsidR="00D931B6" w:rsidRPr="00677889" w:rsidRDefault="00D931B6" w:rsidP="00D931B6">
      <w:pPr>
        <w:rPr>
          <w:b/>
        </w:rPr>
      </w:pPr>
      <w:r w:rsidRPr="00677889">
        <w:rPr>
          <w:b/>
        </w:rPr>
        <w:t>Ms Maria Keys</w:t>
      </w:r>
      <w:r w:rsidR="007B45F6" w:rsidRPr="00677889">
        <w:t>,</w:t>
      </w:r>
      <w:r w:rsidR="00624805" w:rsidRPr="00677889">
        <w:rPr>
          <w:b/>
        </w:rPr>
        <w:t xml:space="preserve"> </w:t>
      </w:r>
      <w:r w:rsidR="00624805" w:rsidRPr="00677889">
        <w:t>BA (Syd), MACS, MAICD</w:t>
      </w:r>
    </w:p>
    <w:p w14:paraId="1CD0EA65" w14:textId="77777777" w:rsidR="00D931B6" w:rsidRPr="00677889" w:rsidRDefault="00D931B6" w:rsidP="00D931B6">
      <w:r w:rsidRPr="00677889">
        <w:rPr>
          <w:b/>
        </w:rPr>
        <w:t>Dr Jo-Anne Maire</w:t>
      </w:r>
      <w:r w:rsidR="007B45F6" w:rsidRPr="00677889">
        <w:t>,</w:t>
      </w:r>
      <w:r w:rsidR="00632D0F" w:rsidRPr="00677889">
        <w:t xml:space="preserve"> DC, MPhil, MTrainDev</w:t>
      </w:r>
    </w:p>
    <w:p w14:paraId="15BCEB80" w14:textId="77777777" w:rsidR="00D931B6" w:rsidRPr="00677889" w:rsidRDefault="00D931B6" w:rsidP="00D02E61">
      <w:pPr>
        <w:rPr>
          <w:b/>
        </w:rPr>
      </w:pPr>
      <w:r w:rsidRPr="00677889">
        <w:rPr>
          <w:b/>
        </w:rPr>
        <w:t>Dr Michael Shobbrook</w:t>
      </w:r>
      <w:r w:rsidR="007B45F6" w:rsidRPr="00677889">
        <w:t>, BSc (Anatomy) MChiro MAICD</w:t>
      </w:r>
      <w:r w:rsidRPr="00677889">
        <w:rPr>
          <w:b/>
        </w:rPr>
        <w:t xml:space="preserve"> </w:t>
      </w:r>
      <w:r w:rsidRPr="00677889">
        <w:t>– Chair CCEA</w:t>
      </w:r>
    </w:p>
    <w:p w14:paraId="0BA359EE" w14:textId="77777777" w:rsidR="00D02E61" w:rsidRPr="00677889" w:rsidRDefault="00D931B6" w:rsidP="007B45F6">
      <w:pPr>
        <w:keepLines w:val="0"/>
        <w:widowControl/>
        <w:autoSpaceDE w:val="0"/>
        <w:autoSpaceDN w:val="0"/>
        <w:adjustRightInd w:val="0"/>
        <w:spacing w:line="240" w:lineRule="auto"/>
        <w:rPr>
          <w:rFonts w:ascii="ArialMT" w:eastAsia="Arial" w:hAnsi="ArialMT" w:cs="ArialMT"/>
          <w:szCs w:val="21"/>
          <w:lang w:eastAsia="en-AU"/>
        </w:rPr>
      </w:pPr>
      <w:r w:rsidRPr="00677889">
        <w:rPr>
          <w:b/>
        </w:rPr>
        <w:t>Dr Mick Webb</w:t>
      </w:r>
      <w:r w:rsidR="007B45F6" w:rsidRPr="00677889">
        <w:t>,</w:t>
      </w:r>
      <w:r w:rsidR="00D02E61" w:rsidRPr="00677889">
        <w:rPr>
          <w:b/>
        </w:rPr>
        <w:t xml:space="preserve"> </w:t>
      </w:r>
      <w:r w:rsidR="00D02E61" w:rsidRPr="00677889">
        <w:rPr>
          <w:rFonts w:ascii="ArialMT" w:eastAsia="Arial" w:hAnsi="ArialMT" w:cs="ArialMT"/>
          <w:szCs w:val="21"/>
          <w:lang w:eastAsia="en-AU"/>
        </w:rPr>
        <w:t xml:space="preserve">Cert IV TAE, DipAppSc (Human Biology), BAppSc (Chiro), FACCS, </w:t>
      </w:r>
      <w:r w:rsidR="008C176B" w:rsidRPr="00677889">
        <w:rPr>
          <w:rFonts w:ascii="ArialMT" w:eastAsia="Arial" w:hAnsi="ArialMT" w:cs="ArialMT"/>
          <w:szCs w:val="21"/>
          <w:lang w:eastAsia="en-AU"/>
        </w:rPr>
        <w:t>GradDipEd</w:t>
      </w:r>
      <w:r w:rsidR="00157D4A" w:rsidRPr="00677889">
        <w:rPr>
          <w:rFonts w:ascii="ArialMT" w:eastAsia="Arial" w:hAnsi="ArialMT" w:cs="ArialMT"/>
          <w:szCs w:val="21"/>
          <w:lang w:eastAsia="en-AU"/>
        </w:rPr>
        <w:t xml:space="preserve"> </w:t>
      </w:r>
      <w:r w:rsidR="00D02E61" w:rsidRPr="00677889">
        <w:rPr>
          <w:rFonts w:ascii="ArialMT" w:eastAsia="Arial" w:hAnsi="ArialMT" w:cs="ArialMT"/>
          <w:szCs w:val="21"/>
          <w:lang w:eastAsia="en-AU"/>
        </w:rPr>
        <w:t>(Tertiary)</w:t>
      </w:r>
    </w:p>
    <w:p w14:paraId="14BDBD6E" w14:textId="77777777" w:rsidR="00D931B6" w:rsidRPr="00677889" w:rsidRDefault="00D931B6" w:rsidP="007B45F6">
      <w:pPr>
        <w:keepLines w:val="0"/>
        <w:widowControl/>
        <w:autoSpaceDE w:val="0"/>
        <w:autoSpaceDN w:val="0"/>
        <w:adjustRightInd w:val="0"/>
        <w:spacing w:before="120" w:after="120" w:line="300" w:lineRule="auto"/>
      </w:pPr>
      <w:r w:rsidRPr="00677889">
        <w:t>Acknowledgement is also made of the significant contribution of Ms Kylie Woolcock, CCEA Executive Officer.</w:t>
      </w:r>
    </w:p>
    <w:p w14:paraId="4E18E0C1" w14:textId="77777777" w:rsidR="00FC2F0B" w:rsidRPr="00677889" w:rsidRDefault="00A4198D" w:rsidP="004C4642">
      <w:pPr>
        <w:spacing w:before="120" w:after="360" w:line="300" w:lineRule="auto"/>
      </w:pPr>
      <w:r w:rsidRPr="00677889">
        <w:t xml:space="preserve">The generosity, openness and collegiality of </w:t>
      </w:r>
      <w:r w:rsidR="00C108FC" w:rsidRPr="00677889">
        <w:t xml:space="preserve">individuals and </w:t>
      </w:r>
      <w:r w:rsidRPr="00677889">
        <w:t xml:space="preserve">the other national and international accreditation regulatory authorities and collaboratives is also recognised and gratefully acknowledged. These Standards reflect the </w:t>
      </w:r>
      <w:r w:rsidR="008A4BB4" w:rsidRPr="00677889">
        <w:t>willingness to share</w:t>
      </w:r>
      <w:r w:rsidR="00C7341C" w:rsidRPr="00677889">
        <w:t xml:space="preserve"> the </w:t>
      </w:r>
      <w:r w:rsidRPr="00677889">
        <w:t>richness of the research, evidence</w:t>
      </w:r>
      <w:r w:rsidR="008A4BB4" w:rsidRPr="00677889">
        <w:t xml:space="preserve"> and </w:t>
      </w:r>
      <w:r w:rsidRPr="00677889">
        <w:t>collective wisdom of these organisations in the development of the accreditation and competency standards for the health profess</w:t>
      </w:r>
      <w:r w:rsidR="004C4642" w:rsidRPr="00677889">
        <w:t>ions they regulate and support.</w:t>
      </w:r>
    </w:p>
    <w:p w14:paraId="2B732401" w14:textId="77777777" w:rsidR="00D931B6" w:rsidRPr="00677889" w:rsidRDefault="00995106" w:rsidP="00995106">
      <w:pPr>
        <w:keepLines w:val="0"/>
        <w:widowControl/>
        <w:spacing w:after="200"/>
        <w:rPr>
          <w:lang w:eastAsia="en-AU"/>
        </w:rPr>
      </w:pPr>
      <w:r w:rsidRPr="00677889">
        <w:rPr>
          <w:lang w:eastAsia="en-AU"/>
        </w:rPr>
        <w:br w:type="page"/>
      </w:r>
    </w:p>
    <w:p w14:paraId="7B3916AC" w14:textId="77777777" w:rsidR="000165CA" w:rsidRPr="00677889" w:rsidRDefault="000165CA" w:rsidP="000165CA">
      <w:pPr>
        <w:pStyle w:val="BodyText"/>
        <w:rPr>
          <w:rFonts w:eastAsia="Arial Unicode MS"/>
        </w:rPr>
      </w:pPr>
      <w:bookmarkStart w:id="9" w:name="_Toc418368762"/>
      <w:bookmarkStart w:id="10" w:name="_Toc419887188"/>
      <w:bookmarkStart w:id="11" w:name="_Toc446242257"/>
    </w:p>
    <w:p w14:paraId="5827BC4B" w14:textId="77777777" w:rsidR="000165CA" w:rsidRPr="00677889" w:rsidRDefault="000165CA" w:rsidP="000165CA">
      <w:pPr>
        <w:pStyle w:val="BodyText"/>
        <w:rPr>
          <w:rFonts w:eastAsia="Arial Unicode MS"/>
        </w:rPr>
      </w:pPr>
    </w:p>
    <w:p w14:paraId="076F742C" w14:textId="77777777" w:rsidR="00995106" w:rsidRPr="00677889" w:rsidRDefault="00995106" w:rsidP="00995106">
      <w:pPr>
        <w:keepNext/>
        <w:keepLines w:val="0"/>
        <w:spacing w:before="240" w:after="120" w:line="240" w:lineRule="auto"/>
        <w:outlineLvl w:val="0"/>
        <w:rPr>
          <w:rFonts w:eastAsia="Arial Unicode MS"/>
          <w:b/>
          <w:color w:val="046E9C" w:themeColor="text2"/>
          <w:sz w:val="32"/>
          <w:szCs w:val="44"/>
        </w:rPr>
      </w:pPr>
      <w:r w:rsidRPr="00677889">
        <w:rPr>
          <w:rFonts w:eastAsia="Arial Unicode MS"/>
          <w:b/>
          <w:color w:val="046E9C" w:themeColor="text2"/>
          <w:sz w:val="32"/>
          <w:szCs w:val="44"/>
        </w:rPr>
        <w:t>INTRODUCTION</w:t>
      </w:r>
      <w:bookmarkEnd w:id="9"/>
      <w:bookmarkEnd w:id="10"/>
      <w:bookmarkEnd w:id="11"/>
    </w:p>
    <w:tbl>
      <w:tblPr>
        <w:tblStyle w:val="TableGrid3"/>
        <w:tblW w:w="9240" w:type="dxa"/>
        <w:tblLook w:val="04A0" w:firstRow="1" w:lastRow="0" w:firstColumn="1" w:lastColumn="0" w:noHBand="0" w:noVBand="1"/>
      </w:tblPr>
      <w:tblGrid>
        <w:gridCol w:w="9240"/>
      </w:tblGrid>
      <w:tr w:rsidR="00995106" w:rsidRPr="00677889" w14:paraId="76466F0A" w14:textId="77777777" w:rsidTr="006D0327">
        <w:tc>
          <w:tcPr>
            <w:tcW w:w="9240" w:type="dxa"/>
            <w:tcBorders>
              <w:top w:val="thinThickThinSmallGap" w:sz="24" w:space="0" w:color="DCE4F1" w:themeColor="accent5" w:themeTint="33"/>
              <w:left w:val="thinThickThinSmallGap" w:sz="24" w:space="0" w:color="DCE4F1" w:themeColor="accent5" w:themeTint="33"/>
              <w:bottom w:val="thinThickThinSmallGap" w:sz="24" w:space="0" w:color="DCE4F1" w:themeColor="accent5" w:themeTint="33"/>
              <w:right w:val="thinThickThinSmallGap" w:sz="24" w:space="0" w:color="DCE4F1" w:themeColor="accent5" w:themeTint="33"/>
            </w:tcBorders>
            <w:shd w:val="clear" w:color="auto" w:fill="DCE4F1" w:themeFill="accent5" w:themeFillTint="33"/>
          </w:tcPr>
          <w:p w14:paraId="59C8772D" w14:textId="77777777" w:rsidR="00995106" w:rsidRPr="00677889" w:rsidRDefault="00995106" w:rsidP="00995106">
            <w:pPr>
              <w:spacing w:before="240" w:after="120"/>
              <w:ind w:left="255" w:right="261"/>
              <w:rPr>
                <w:bCs/>
                <w:iCs/>
                <w:color w:val="046E9C" w:themeColor="accent1"/>
                <w:szCs w:val="21"/>
              </w:rPr>
            </w:pPr>
            <w:r w:rsidRPr="00677889">
              <w:rPr>
                <w:bCs/>
                <w:i/>
                <w:iCs/>
                <w:color w:val="046E9C" w:themeColor="accent1"/>
                <w:szCs w:val="21"/>
              </w:rPr>
              <w:t xml:space="preserve">The Council on Chiropractic Education Australasia </w:t>
            </w:r>
            <w:r w:rsidR="008C176B" w:rsidRPr="00677889">
              <w:rPr>
                <w:bCs/>
                <w:i/>
                <w:iCs/>
                <w:color w:val="046E9C" w:themeColor="accent1"/>
                <w:szCs w:val="21"/>
              </w:rPr>
              <w:t xml:space="preserve">Ltd </w:t>
            </w:r>
            <w:r w:rsidRPr="00677889">
              <w:rPr>
                <w:bCs/>
                <w:i/>
                <w:iCs/>
                <w:color w:val="046E9C" w:themeColor="accent1"/>
                <w:szCs w:val="21"/>
              </w:rPr>
              <w:t xml:space="preserve">(CCEA) </w:t>
            </w:r>
            <w:r w:rsidR="000A16A8" w:rsidRPr="00677889">
              <w:rPr>
                <w:bCs/>
                <w:i/>
                <w:iCs/>
                <w:color w:val="046E9C" w:themeColor="accent1"/>
                <w:szCs w:val="21"/>
              </w:rPr>
              <w:t>has reviewed</w:t>
            </w:r>
            <w:r w:rsidRPr="00677889">
              <w:rPr>
                <w:bCs/>
                <w:i/>
                <w:iCs/>
                <w:color w:val="046E9C" w:themeColor="accent1"/>
                <w:szCs w:val="21"/>
              </w:rPr>
              <w:t xml:space="preserve"> the two sets of standards relevant to its accreditation functions:</w:t>
            </w:r>
          </w:p>
          <w:p w14:paraId="7A90E637" w14:textId="77777777" w:rsidR="00995106" w:rsidRPr="00677889" w:rsidRDefault="00995106" w:rsidP="002A11E0">
            <w:pPr>
              <w:keepLines w:val="0"/>
              <w:widowControl/>
              <w:numPr>
                <w:ilvl w:val="0"/>
                <w:numId w:val="16"/>
              </w:numPr>
              <w:spacing w:before="120" w:after="120"/>
              <w:ind w:left="975" w:right="261" w:hanging="357"/>
              <w:rPr>
                <w:bCs/>
                <w:iCs/>
                <w:color w:val="046E9C" w:themeColor="accent1"/>
                <w:szCs w:val="21"/>
              </w:rPr>
            </w:pPr>
            <w:r w:rsidRPr="00677889">
              <w:rPr>
                <w:bCs/>
                <w:i/>
                <w:iCs/>
                <w:color w:val="046E9C" w:themeColor="accent1"/>
                <w:szCs w:val="21"/>
              </w:rPr>
              <w:t xml:space="preserve">The </w:t>
            </w:r>
            <w:r w:rsidR="009E1B2D" w:rsidRPr="00677889">
              <w:rPr>
                <w:bCs/>
                <w:i/>
                <w:iCs/>
                <w:color w:val="046E9C" w:themeColor="accent1"/>
                <w:szCs w:val="21"/>
              </w:rPr>
              <w:t>accreditation</w:t>
            </w:r>
            <w:r w:rsidRPr="00677889">
              <w:rPr>
                <w:bCs/>
                <w:i/>
                <w:iCs/>
                <w:color w:val="046E9C" w:themeColor="accent1"/>
                <w:szCs w:val="21"/>
              </w:rPr>
              <w:t xml:space="preserve"> standards </w:t>
            </w:r>
            <w:r w:rsidR="00C108FC" w:rsidRPr="00677889">
              <w:rPr>
                <w:bCs/>
                <w:i/>
                <w:iCs/>
                <w:color w:val="046E9C" w:themeColor="accent1"/>
                <w:szCs w:val="21"/>
              </w:rPr>
              <w:t>(</w:t>
            </w:r>
            <w:r w:rsidR="009E1B2D" w:rsidRPr="00677889">
              <w:rPr>
                <w:bCs/>
                <w:i/>
                <w:iCs/>
                <w:color w:val="046E9C" w:themeColor="accent1"/>
                <w:szCs w:val="21"/>
              </w:rPr>
              <w:t>previously</w:t>
            </w:r>
            <w:r w:rsidR="00C108FC" w:rsidRPr="00677889">
              <w:rPr>
                <w:bCs/>
                <w:i/>
                <w:iCs/>
                <w:color w:val="046E9C" w:themeColor="accent1"/>
                <w:szCs w:val="21"/>
              </w:rPr>
              <w:t xml:space="preserve"> referred to as ‘</w:t>
            </w:r>
            <w:r w:rsidR="009E1B2D" w:rsidRPr="00677889">
              <w:rPr>
                <w:bCs/>
                <w:i/>
                <w:iCs/>
                <w:color w:val="046E9C" w:themeColor="accent1"/>
                <w:szCs w:val="21"/>
              </w:rPr>
              <w:t>educational</w:t>
            </w:r>
            <w:r w:rsidR="00C108FC" w:rsidRPr="00677889">
              <w:rPr>
                <w:bCs/>
                <w:i/>
                <w:iCs/>
                <w:color w:val="046E9C" w:themeColor="accent1"/>
                <w:szCs w:val="21"/>
              </w:rPr>
              <w:t xml:space="preserve"> standards</w:t>
            </w:r>
            <w:r w:rsidR="00E6361F" w:rsidRPr="00677889">
              <w:rPr>
                <w:bCs/>
                <w:i/>
                <w:iCs/>
                <w:color w:val="046E9C" w:themeColor="accent1"/>
                <w:szCs w:val="21"/>
              </w:rPr>
              <w:t>’)</w:t>
            </w:r>
            <w:r w:rsidR="00C108FC" w:rsidRPr="00677889">
              <w:rPr>
                <w:bCs/>
                <w:i/>
                <w:iCs/>
                <w:color w:val="046E9C" w:themeColor="accent1"/>
                <w:szCs w:val="21"/>
              </w:rPr>
              <w:t>’</w:t>
            </w:r>
          </w:p>
          <w:p w14:paraId="23DCC943" w14:textId="77777777" w:rsidR="00995106" w:rsidRPr="00677889" w:rsidRDefault="00995106" w:rsidP="002A11E0">
            <w:pPr>
              <w:keepLines w:val="0"/>
              <w:widowControl/>
              <w:numPr>
                <w:ilvl w:val="0"/>
                <w:numId w:val="16"/>
              </w:numPr>
              <w:spacing w:before="120" w:after="120"/>
              <w:ind w:left="975" w:right="261" w:hanging="357"/>
              <w:rPr>
                <w:bCs/>
                <w:iCs/>
                <w:color w:val="046E9C" w:themeColor="accent1"/>
                <w:szCs w:val="21"/>
              </w:rPr>
            </w:pPr>
            <w:r w:rsidRPr="00677889">
              <w:rPr>
                <w:bCs/>
                <w:i/>
                <w:iCs/>
                <w:color w:val="046E9C" w:themeColor="accent1"/>
                <w:szCs w:val="21"/>
              </w:rPr>
              <w:t>The competency standards</w:t>
            </w:r>
            <w:r w:rsidR="00C108FC" w:rsidRPr="00677889">
              <w:rPr>
                <w:bCs/>
                <w:i/>
                <w:iCs/>
                <w:color w:val="046E9C" w:themeColor="accent1"/>
                <w:szCs w:val="21"/>
              </w:rPr>
              <w:t>.</w:t>
            </w:r>
            <w:r w:rsidRPr="00677889">
              <w:rPr>
                <w:bCs/>
                <w:i/>
                <w:iCs/>
                <w:color w:val="046E9C" w:themeColor="accent1"/>
                <w:szCs w:val="21"/>
              </w:rPr>
              <w:t xml:space="preserve"> </w:t>
            </w:r>
          </w:p>
          <w:p w14:paraId="6821DDCA" w14:textId="77777777" w:rsidR="00995106" w:rsidRPr="00677889" w:rsidRDefault="00995106" w:rsidP="000A16A8">
            <w:pPr>
              <w:spacing w:before="120"/>
              <w:ind w:left="255" w:right="261"/>
              <w:rPr>
                <w:bCs/>
                <w:i/>
                <w:iCs/>
                <w:color w:val="046E9C" w:themeColor="accent1"/>
                <w:szCs w:val="21"/>
              </w:rPr>
            </w:pPr>
            <w:r w:rsidRPr="00677889">
              <w:rPr>
                <w:bCs/>
                <w:i/>
                <w:iCs/>
                <w:color w:val="046E9C" w:themeColor="accent1"/>
                <w:szCs w:val="21"/>
              </w:rPr>
              <w:t>These two key sets of standards are complementary and strongly inter-linked. They are the mainstay of chiropractic practice and education in Australia and New Zealand</w:t>
            </w:r>
            <w:r w:rsidR="00325B98" w:rsidRPr="00677889">
              <w:rPr>
                <w:bCs/>
                <w:i/>
                <w:iCs/>
                <w:color w:val="046E9C" w:themeColor="accent1"/>
                <w:szCs w:val="21"/>
              </w:rPr>
              <w:t xml:space="preserve">, as well as </w:t>
            </w:r>
            <w:r w:rsidR="008A4BB4" w:rsidRPr="00677889">
              <w:rPr>
                <w:bCs/>
                <w:i/>
                <w:iCs/>
                <w:color w:val="046E9C" w:themeColor="accent1"/>
                <w:szCs w:val="21"/>
              </w:rPr>
              <w:t>A</w:t>
            </w:r>
            <w:r w:rsidR="00752349" w:rsidRPr="00677889">
              <w:rPr>
                <w:bCs/>
                <w:i/>
                <w:iCs/>
                <w:color w:val="046E9C" w:themeColor="accent1"/>
                <w:szCs w:val="21"/>
              </w:rPr>
              <w:t>sian</w:t>
            </w:r>
            <w:r w:rsidR="008A4BB4" w:rsidRPr="00677889">
              <w:rPr>
                <w:bCs/>
                <w:i/>
                <w:iCs/>
                <w:color w:val="046E9C" w:themeColor="accent1"/>
                <w:szCs w:val="21"/>
              </w:rPr>
              <w:t xml:space="preserve"> p</w:t>
            </w:r>
            <w:r w:rsidR="00752349" w:rsidRPr="00677889">
              <w:rPr>
                <w:bCs/>
                <w:i/>
                <w:iCs/>
                <w:color w:val="046E9C" w:themeColor="accent1"/>
                <w:szCs w:val="21"/>
              </w:rPr>
              <w:t>rograms</w:t>
            </w:r>
            <w:r w:rsidR="008A4BB4" w:rsidRPr="00677889">
              <w:rPr>
                <w:bCs/>
                <w:i/>
                <w:iCs/>
                <w:color w:val="046E9C" w:themeColor="accent1"/>
                <w:szCs w:val="21"/>
              </w:rPr>
              <w:t xml:space="preserve"> </w:t>
            </w:r>
            <w:r w:rsidR="00325B98" w:rsidRPr="00677889">
              <w:rPr>
                <w:bCs/>
                <w:i/>
                <w:iCs/>
                <w:color w:val="046E9C" w:themeColor="accent1"/>
                <w:szCs w:val="21"/>
              </w:rPr>
              <w:t>adopting</w:t>
            </w:r>
            <w:r w:rsidR="008A4BB4" w:rsidRPr="00677889">
              <w:rPr>
                <w:bCs/>
                <w:i/>
                <w:iCs/>
                <w:color w:val="046E9C" w:themeColor="accent1"/>
                <w:szCs w:val="21"/>
              </w:rPr>
              <w:t xml:space="preserve"> these standards</w:t>
            </w:r>
            <w:r w:rsidRPr="00677889">
              <w:rPr>
                <w:bCs/>
                <w:i/>
                <w:iCs/>
                <w:color w:val="046E9C" w:themeColor="accent1"/>
                <w:szCs w:val="21"/>
              </w:rPr>
              <w:t>.</w:t>
            </w:r>
          </w:p>
        </w:tc>
      </w:tr>
    </w:tbl>
    <w:p w14:paraId="071EB89D" w14:textId="77777777" w:rsidR="00995106" w:rsidRPr="00677889" w:rsidRDefault="00995106" w:rsidP="006D0327">
      <w:pPr>
        <w:pStyle w:val="Heading2"/>
      </w:pPr>
      <w:bookmarkStart w:id="12" w:name="_Toc418368763"/>
      <w:bookmarkStart w:id="13" w:name="_Toc419887189"/>
      <w:bookmarkStart w:id="14" w:name="_Toc435728887"/>
      <w:bookmarkStart w:id="15" w:name="_Toc437248399"/>
      <w:bookmarkStart w:id="16" w:name="_Toc446242258"/>
      <w:r w:rsidRPr="00677889">
        <w:t>Council on Chiropractic Education Australasia (CCEA)</w:t>
      </w:r>
      <w:bookmarkEnd w:id="12"/>
      <w:bookmarkEnd w:id="13"/>
      <w:bookmarkEnd w:id="14"/>
      <w:bookmarkEnd w:id="15"/>
      <w:bookmarkEnd w:id="16"/>
    </w:p>
    <w:p w14:paraId="409D1AC1" w14:textId="77777777" w:rsidR="00995106" w:rsidRPr="00677889" w:rsidRDefault="00995106" w:rsidP="0073739F">
      <w:pPr>
        <w:pStyle w:val="BodyText"/>
      </w:pPr>
      <w:r w:rsidRPr="00677889">
        <w:t>CCEA is currently the independent and nationally recognised body responsible for ensuring competency and high</w:t>
      </w:r>
      <w:r w:rsidR="006D0327" w:rsidRPr="00677889">
        <w:t>er</w:t>
      </w:r>
      <w:r w:rsidRPr="00677889">
        <w:t xml:space="preserve"> education standards in chiropractic for the Australasian community. </w:t>
      </w:r>
    </w:p>
    <w:p w14:paraId="66182F09" w14:textId="77777777" w:rsidR="00995106" w:rsidRPr="00677889" w:rsidRDefault="006D0327" w:rsidP="0073739F">
      <w:pPr>
        <w:pStyle w:val="BodyText"/>
      </w:pPr>
      <w:r w:rsidRPr="00677889">
        <w:t>CCEA is also the authority responsible for skills assessment</w:t>
      </w:r>
      <w:r w:rsidR="003E708F" w:rsidRPr="00677889">
        <w:t xml:space="preserve"> on behalf of the Chiropractic Board of Australia and New Zealand Chiropractic Board and for</w:t>
      </w:r>
      <w:r w:rsidRPr="00677889">
        <w:t xml:space="preserve"> immigrants seeking to practise chiropractic. Internationally, in 2005, the CCEA was admitted to membership of the Councils on Chiropractic Education International (CCEI).</w:t>
      </w:r>
    </w:p>
    <w:p w14:paraId="48D14CB4" w14:textId="77777777" w:rsidR="006D0327" w:rsidRPr="00677889" w:rsidRDefault="00C108FC" w:rsidP="00A4198D">
      <w:pPr>
        <w:pStyle w:val="Heading2"/>
      </w:pPr>
      <w:bookmarkStart w:id="17" w:name="_Toc418368764"/>
      <w:bookmarkStart w:id="18" w:name="_Toc419887190"/>
      <w:bookmarkStart w:id="19" w:name="_Toc435728888"/>
      <w:bookmarkStart w:id="20" w:name="_Toc437248400"/>
      <w:bookmarkStart w:id="21" w:name="_Toc446242259"/>
      <w:r w:rsidRPr="00677889">
        <w:t>Accreditation</w:t>
      </w:r>
      <w:r w:rsidR="006D0327" w:rsidRPr="00677889">
        <w:t xml:space="preserve"> and Competency Standards and Accreditation</w:t>
      </w:r>
      <w:bookmarkEnd w:id="17"/>
      <w:bookmarkEnd w:id="18"/>
      <w:bookmarkEnd w:id="19"/>
      <w:bookmarkEnd w:id="20"/>
      <w:bookmarkEnd w:id="21"/>
    </w:p>
    <w:p w14:paraId="20786677" w14:textId="77777777" w:rsidR="006D0327" w:rsidRPr="00677889" w:rsidRDefault="006D0327" w:rsidP="00A4198D">
      <w:pPr>
        <w:pStyle w:val="Heading3"/>
      </w:pPr>
      <w:bookmarkStart w:id="22" w:name="_Toc418368765"/>
      <w:bookmarkStart w:id="23" w:name="_Toc419887191"/>
      <w:bookmarkStart w:id="24" w:name="_Toc435716073"/>
      <w:bookmarkStart w:id="25" w:name="_Toc435728889"/>
      <w:bookmarkStart w:id="26" w:name="_Toc437248401"/>
      <w:bookmarkStart w:id="27" w:name="_Toc446242260"/>
      <w:r w:rsidRPr="00677889">
        <w:t>Accreditation</w:t>
      </w:r>
      <w:bookmarkEnd w:id="22"/>
      <w:bookmarkEnd w:id="23"/>
      <w:bookmarkEnd w:id="24"/>
      <w:bookmarkEnd w:id="25"/>
      <w:bookmarkEnd w:id="26"/>
      <w:bookmarkEnd w:id="27"/>
    </w:p>
    <w:tbl>
      <w:tblPr>
        <w:tblStyle w:val="TableGrid4"/>
        <w:tblW w:w="9240" w:type="dxa"/>
        <w:tblLook w:val="04A0" w:firstRow="1" w:lastRow="0" w:firstColumn="1" w:lastColumn="0" w:noHBand="0" w:noVBand="1"/>
      </w:tblPr>
      <w:tblGrid>
        <w:gridCol w:w="9240"/>
      </w:tblGrid>
      <w:tr w:rsidR="006D0327" w:rsidRPr="00677889" w14:paraId="7C590BFD" w14:textId="77777777" w:rsidTr="006D0327">
        <w:tc>
          <w:tcPr>
            <w:tcW w:w="9240" w:type="dxa"/>
            <w:tcBorders>
              <w:top w:val="thinThickThinSmallGap" w:sz="24" w:space="0" w:color="DCE4F1" w:themeColor="accent5" w:themeTint="33"/>
              <w:left w:val="thinThickThinSmallGap" w:sz="24" w:space="0" w:color="DCE4F1" w:themeColor="accent5" w:themeTint="33"/>
              <w:bottom w:val="thinThickThinSmallGap" w:sz="24" w:space="0" w:color="DCE4F1" w:themeColor="accent5" w:themeTint="33"/>
              <w:right w:val="thinThickThinSmallGap" w:sz="24" w:space="0" w:color="DCE4F1" w:themeColor="accent5" w:themeTint="33"/>
            </w:tcBorders>
            <w:shd w:val="clear" w:color="auto" w:fill="DCE4F1" w:themeFill="accent5" w:themeFillTint="33"/>
          </w:tcPr>
          <w:p w14:paraId="45FFAB3D" w14:textId="77777777" w:rsidR="006D0327" w:rsidRPr="00677889" w:rsidRDefault="006D0327" w:rsidP="003C2184">
            <w:pPr>
              <w:spacing w:before="240"/>
              <w:ind w:left="255" w:right="261"/>
              <w:rPr>
                <w:bCs/>
                <w:iCs/>
                <w:color w:val="046E9C" w:themeColor="accent1"/>
              </w:rPr>
            </w:pPr>
            <w:r w:rsidRPr="00677889">
              <w:rPr>
                <w:bCs/>
                <w:i/>
                <w:iCs/>
                <w:color w:val="046E9C" w:themeColor="accent1"/>
                <w:szCs w:val="21"/>
              </w:rPr>
              <w:t>Accreditation is an important quality assurance and quality improvement mechanism for health practitioner education and training. It is also the key quality assurance mechanism to ensure that graduates completing approved programs of study have the knowledge, skills and professional attributes to practise the relevant profession. Accreditation standards and accreditation of programs of study against those standards are fundamental determinants of the quality of the education and training of health practitioners.</w:t>
            </w:r>
            <w:r w:rsidRPr="00677889">
              <w:rPr>
                <w:bCs/>
                <w:i/>
                <w:iCs/>
                <w:color w:val="046E9C" w:themeColor="accent1"/>
                <w:vertAlign w:val="superscript"/>
              </w:rPr>
              <w:footnoteReference w:id="1"/>
            </w:r>
            <w:r w:rsidRPr="00677889">
              <w:rPr>
                <w:bCs/>
                <w:i/>
                <w:iCs/>
                <w:color w:val="046E9C" w:themeColor="accent1"/>
                <w:vertAlign w:val="superscript"/>
              </w:rPr>
              <w:t xml:space="preserve"> </w:t>
            </w:r>
          </w:p>
        </w:tc>
      </w:tr>
    </w:tbl>
    <w:p w14:paraId="7F2DD806" w14:textId="77777777" w:rsidR="006D0327" w:rsidRPr="00677889" w:rsidRDefault="006D0327" w:rsidP="006D0327">
      <w:pPr>
        <w:spacing w:before="240"/>
        <w:rPr>
          <w:szCs w:val="21"/>
        </w:rPr>
      </w:pPr>
      <w:r w:rsidRPr="00677889">
        <w:rPr>
          <w:szCs w:val="21"/>
        </w:rPr>
        <w:lastRenderedPageBreak/>
        <w:t>High quality professional education has a critical role to play in protecting the community by ensuring that only health practitioners who are suitably trained and qualified to practise in a competent and ethical manner are registered.</w:t>
      </w:r>
      <w:r w:rsidRPr="00677889">
        <w:rPr>
          <w:szCs w:val="21"/>
          <w:vertAlign w:val="superscript"/>
        </w:rPr>
        <w:footnoteReference w:id="2"/>
      </w:r>
      <w:r w:rsidRPr="00677889">
        <w:rPr>
          <w:szCs w:val="21"/>
        </w:rPr>
        <w:t xml:space="preserve"> A primary aim of the accreditation system for health professionals is the facilitation of the provision of high quality professional education and training</w:t>
      </w:r>
      <w:r w:rsidRPr="00677889">
        <w:rPr>
          <w:szCs w:val="21"/>
          <w:vertAlign w:val="superscript"/>
        </w:rPr>
        <w:footnoteReference w:id="3"/>
      </w:r>
      <w:r w:rsidRPr="00677889">
        <w:rPr>
          <w:szCs w:val="21"/>
        </w:rPr>
        <w:t xml:space="preserve"> using the principles of quality assurance and continuous improvement to respond to evolving community needs and professional practice.</w:t>
      </w:r>
      <w:r w:rsidRPr="00677889">
        <w:rPr>
          <w:szCs w:val="21"/>
          <w:vertAlign w:val="superscript"/>
        </w:rPr>
        <w:footnoteReference w:id="4"/>
      </w:r>
      <w:r w:rsidRPr="00677889">
        <w:rPr>
          <w:szCs w:val="21"/>
        </w:rPr>
        <w:t xml:space="preserve"> </w:t>
      </w:r>
    </w:p>
    <w:p w14:paraId="1CC56CC5" w14:textId="77777777" w:rsidR="006D0327" w:rsidRPr="00677889" w:rsidRDefault="006D0327" w:rsidP="006D0327">
      <w:pPr>
        <w:rPr>
          <w:szCs w:val="21"/>
        </w:rPr>
      </w:pPr>
      <w:r w:rsidRPr="00677889">
        <w:rPr>
          <w:szCs w:val="21"/>
        </w:rPr>
        <w:t xml:space="preserve">Accreditation is the recognition by an independent accreditation authority of the achievement of agreed standards by an education provider, demonstrated through an independent external peer assessment of that organisation's level of performance in relation to the </w:t>
      </w:r>
      <w:r w:rsidR="003C2184" w:rsidRPr="00677889">
        <w:rPr>
          <w:szCs w:val="21"/>
        </w:rPr>
        <w:t xml:space="preserve">accreditation </w:t>
      </w:r>
      <w:r w:rsidRPr="00677889">
        <w:rPr>
          <w:szCs w:val="21"/>
        </w:rPr>
        <w:t>standards.</w:t>
      </w:r>
      <w:r w:rsidRPr="00677889">
        <w:rPr>
          <w:szCs w:val="21"/>
          <w:vertAlign w:val="superscript"/>
        </w:rPr>
        <w:footnoteReference w:id="5"/>
      </w:r>
    </w:p>
    <w:p w14:paraId="5CEA8E84" w14:textId="7A16FB44" w:rsidR="006D0327" w:rsidRPr="00677889" w:rsidRDefault="00CA4B5C" w:rsidP="006D0327">
      <w:pPr>
        <w:keepLines w:val="0"/>
        <w:widowControl/>
        <w:rPr>
          <w:szCs w:val="21"/>
        </w:rPr>
      </w:pPr>
      <w:r>
        <w:t>In Australia and New Zealand, graduates of chiropractic education programs are not eligible to apply for registration and practise as a Chiropractor unless their program of study is accredited by CCEA. For graduates of Chiropractic programs in Australia to register and practise as a Chiropractor in Australia their program of study in Australia must be approved by Chiropractic Board of Australia (CBA)</w:t>
      </w:r>
      <w:r w:rsidR="006D0327" w:rsidRPr="00677889">
        <w:rPr>
          <w:szCs w:val="21"/>
        </w:rPr>
        <w:t xml:space="preserve">. </w:t>
      </w:r>
    </w:p>
    <w:p w14:paraId="2D6A4CB3" w14:textId="7B9AB6BD" w:rsidR="006D0327" w:rsidRPr="00677889" w:rsidRDefault="006D0327" w:rsidP="006D0327">
      <w:pPr>
        <w:keepLines w:val="0"/>
        <w:widowControl/>
        <w:rPr>
          <w:szCs w:val="21"/>
        </w:rPr>
      </w:pPr>
      <w:r w:rsidRPr="00677889">
        <w:rPr>
          <w:szCs w:val="21"/>
        </w:rPr>
        <w:t xml:space="preserve">In Australia under the </w:t>
      </w:r>
      <w:r w:rsidRPr="00677889">
        <w:rPr>
          <w:i/>
          <w:szCs w:val="21"/>
        </w:rPr>
        <w:t>Health Practitioner Regulation National Law Act 2009</w:t>
      </w:r>
      <w:r w:rsidRPr="00677889">
        <w:rPr>
          <w:szCs w:val="21"/>
        </w:rPr>
        <w:t xml:space="preserve"> (the National Law) CCEA is the assigned independent accreditation authority for chiropractic. As well as assessing and accrediting programs of study and education providers, accreditation functions include the development and review of accreditation standards, the assessment of overseas assessing authorities, and performing assessments of the knowledge, clinical skills, professional attributes and overall competence of overseas qualified chiropractors seeking registration in Australia with the CBA.</w:t>
      </w:r>
    </w:p>
    <w:p w14:paraId="620D3456" w14:textId="77777777" w:rsidR="006D0327" w:rsidRPr="00677889" w:rsidRDefault="006D0327" w:rsidP="006D0327">
      <w:pPr>
        <w:rPr>
          <w:szCs w:val="21"/>
        </w:rPr>
      </w:pPr>
      <w:r w:rsidRPr="00677889">
        <w:rPr>
          <w:szCs w:val="21"/>
        </w:rPr>
        <w:t xml:space="preserve">In New Zealand, under the provisions of the </w:t>
      </w:r>
      <w:r w:rsidRPr="00677889">
        <w:rPr>
          <w:i/>
          <w:szCs w:val="21"/>
        </w:rPr>
        <w:t>Health Practitioners Competence Assurance Act 2003</w:t>
      </w:r>
      <w:r w:rsidRPr="00677889">
        <w:rPr>
          <w:szCs w:val="21"/>
        </w:rPr>
        <w:t>, the New Zealand Chiropractic Board (NZCB) has prescribed that the pathways to registration are in partnership with CCEA in their accreditation and standards development role.</w:t>
      </w:r>
      <w:r w:rsidR="00340895" w:rsidRPr="00677889">
        <w:rPr>
          <w:szCs w:val="21"/>
        </w:rPr>
        <w:t xml:space="preserve"> CCEA also perform assessments of the knowledge, clinical skills, professional attributes and overall competence of overseas qualified chiropractors seeking registration in New Zealand with the NZCB.</w:t>
      </w:r>
    </w:p>
    <w:p w14:paraId="2F9DA1C2" w14:textId="77777777" w:rsidR="006D0327" w:rsidRPr="00677889" w:rsidRDefault="006D0327" w:rsidP="006D0327">
      <w:pPr>
        <w:rPr>
          <w:szCs w:val="21"/>
        </w:rPr>
      </w:pPr>
      <w:r w:rsidRPr="00677889">
        <w:rPr>
          <w:szCs w:val="21"/>
        </w:rPr>
        <w:t>CCEA also accredits chiropractic education programs</w:t>
      </w:r>
      <w:r w:rsidR="008A4BB4" w:rsidRPr="00677889">
        <w:rPr>
          <w:szCs w:val="21"/>
        </w:rPr>
        <w:t xml:space="preserve"> in a number of Asian countries. T</w:t>
      </w:r>
      <w:r w:rsidRPr="00677889">
        <w:rPr>
          <w:szCs w:val="21"/>
        </w:rPr>
        <w:t xml:space="preserve">he </w:t>
      </w:r>
      <w:r w:rsidR="003C2184" w:rsidRPr="00677889">
        <w:rPr>
          <w:szCs w:val="21"/>
        </w:rPr>
        <w:t xml:space="preserve">accreditation </w:t>
      </w:r>
      <w:r w:rsidRPr="00677889">
        <w:rPr>
          <w:szCs w:val="21"/>
        </w:rPr>
        <w:t>and competency standards are used i</w:t>
      </w:r>
      <w:r w:rsidR="00D02E61" w:rsidRPr="00677889">
        <w:rPr>
          <w:szCs w:val="21"/>
        </w:rPr>
        <w:t>n</w:t>
      </w:r>
      <w:r w:rsidRPr="00677889">
        <w:rPr>
          <w:szCs w:val="21"/>
        </w:rPr>
        <w:t xml:space="preserve"> the accreditation of these programs.</w:t>
      </w:r>
    </w:p>
    <w:p w14:paraId="4D535323" w14:textId="77777777" w:rsidR="006D0327" w:rsidRPr="00677889" w:rsidRDefault="006D0327" w:rsidP="006D0327">
      <w:pPr>
        <w:rPr>
          <w:szCs w:val="21"/>
        </w:rPr>
      </w:pPr>
      <w:r w:rsidRPr="00677889">
        <w:rPr>
          <w:szCs w:val="21"/>
        </w:rPr>
        <w:t>Critical to the accreditation process is the availability of standards to measure a level of quality or attainment; providing a basis of comparison established in measuring or judging capacity, quantity, quality, content and value; or, criterion used as a model or pattern.</w:t>
      </w:r>
    </w:p>
    <w:p w14:paraId="10A94062" w14:textId="77777777" w:rsidR="006D0327" w:rsidRPr="00677889" w:rsidRDefault="006D0327" w:rsidP="006D0327">
      <w:pPr>
        <w:spacing w:after="120"/>
        <w:rPr>
          <w:szCs w:val="21"/>
        </w:rPr>
      </w:pPr>
      <w:r w:rsidRPr="00677889">
        <w:rPr>
          <w:szCs w:val="21"/>
        </w:rPr>
        <w:t>There are two discrete sets of standards relevant to CCEA’s accreditation functions:</w:t>
      </w:r>
    </w:p>
    <w:p w14:paraId="48179AD6" w14:textId="77777777" w:rsidR="006D0327" w:rsidRPr="00677889" w:rsidRDefault="006D0327" w:rsidP="006D0327">
      <w:pPr>
        <w:spacing w:before="120" w:after="120" w:line="240" w:lineRule="auto"/>
        <w:ind w:left="720"/>
        <w:rPr>
          <w:i/>
          <w:szCs w:val="21"/>
        </w:rPr>
      </w:pPr>
      <w:r w:rsidRPr="00677889">
        <w:rPr>
          <w:szCs w:val="21"/>
        </w:rPr>
        <w:t>•</w:t>
      </w:r>
      <w:r w:rsidRPr="00677889">
        <w:rPr>
          <w:szCs w:val="21"/>
        </w:rPr>
        <w:tab/>
      </w:r>
      <w:r w:rsidRPr="00677889">
        <w:rPr>
          <w:i/>
          <w:szCs w:val="21"/>
        </w:rPr>
        <w:t xml:space="preserve">Competency Standards for </w:t>
      </w:r>
      <w:r w:rsidR="00CB5913" w:rsidRPr="00677889">
        <w:rPr>
          <w:i/>
          <w:szCs w:val="21"/>
        </w:rPr>
        <w:t xml:space="preserve">Graduating </w:t>
      </w:r>
      <w:r w:rsidRPr="00677889">
        <w:rPr>
          <w:i/>
          <w:szCs w:val="21"/>
        </w:rPr>
        <w:t xml:space="preserve">Chiropractors </w:t>
      </w:r>
    </w:p>
    <w:p w14:paraId="4C9BD62A" w14:textId="77777777" w:rsidR="006D0327" w:rsidRPr="00677889" w:rsidRDefault="006D0327" w:rsidP="006D0327">
      <w:pPr>
        <w:spacing w:before="120" w:line="240" w:lineRule="auto"/>
        <w:ind w:left="720"/>
        <w:rPr>
          <w:i/>
          <w:szCs w:val="21"/>
        </w:rPr>
      </w:pPr>
      <w:r w:rsidRPr="00677889">
        <w:rPr>
          <w:szCs w:val="21"/>
        </w:rPr>
        <w:t>•</w:t>
      </w:r>
      <w:r w:rsidRPr="00677889">
        <w:rPr>
          <w:szCs w:val="21"/>
        </w:rPr>
        <w:tab/>
      </w:r>
      <w:r w:rsidR="00C108FC" w:rsidRPr="00677889">
        <w:rPr>
          <w:i/>
          <w:szCs w:val="21"/>
        </w:rPr>
        <w:t>Accreditation</w:t>
      </w:r>
      <w:r w:rsidRPr="00677889">
        <w:rPr>
          <w:i/>
          <w:szCs w:val="21"/>
        </w:rPr>
        <w:t xml:space="preserve"> Standards for </w:t>
      </w:r>
      <w:r w:rsidR="009E1B2D" w:rsidRPr="00677889">
        <w:rPr>
          <w:i/>
          <w:szCs w:val="21"/>
        </w:rPr>
        <w:t>Chiropractic P</w:t>
      </w:r>
      <w:r w:rsidRPr="00677889">
        <w:rPr>
          <w:i/>
          <w:szCs w:val="21"/>
        </w:rPr>
        <w:t>rograms.</w:t>
      </w:r>
    </w:p>
    <w:p w14:paraId="1173DB9B" w14:textId="64C314B9" w:rsidR="00C02C9D" w:rsidRDefault="006D0327" w:rsidP="006D0327">
      <w:pPr>
        <w:spacing w:before="240" w:after="360"/>
        <w:rPr>
          <w:szCs w:val="21"/>
        </w:rPr>
      </w:pPr>
      <w:r w:rsidRPr="00677889">
        <w:rPr>
          <w:szCs w:val="21"/>
        </w:rPr>
        <w:lastRenderedPageBreak/>
        <w:t xml:space="preserve">These two sets of standards are complementary and inter-linked. Diagram 1 below represents the relationship between the </w:t>
      </w:r>
      <w:r w:rsidR="00C108FC" w:rsidRPr="00677889">
        <w:rPr>
          <w:szCs w:val="21"/>
        </w:rPr>
        <w:t>accreditation</w:t>
      </w:r>
      <w:r w:rsidRPr="00677889">
        <w:rPr>
          <w:szCs w:val="21"/>
        </w:rPr>
        <w:t xml:space="preserve"> standards, competency standards, the accreditation scheme and a key objective of these. That is, the health and protection of the </w:t>
      </w:r>
      <w:r w:rsidR="003C2184" w:rsidRPr="00677889">
        <w:rPr>
          <w:szCs w:val="21"/>
        </w:rPr>
        <w:t>public</w:t>
      </w:r>
      <w:r w:rsidRPr="00677889">
        <w:rPr>
          <w:szCs w:val="21"/>
        </w:rPr>
        <w:t>.</w:t>
      </w:r>
    </w:p>
    <w:p w14:paraId="24BC94B0" w14:textId="3E127298" w:rsidR="009E1B2D" w:rsidRPr="006325C2" w:rsidRDefault="006325C2" w:rsidP="006325C2">
      <w:pPr>
        <w:spacing w:before="240" w:after="360"/>
        <w:rPr>
          <w:szCs w:val="21"/>
        </w:rPr>
      </w:pPr>
      <w:r>
        <w:rPr>
          <w:noProof/>
          <w:szCs w:val="21"/>
          <w:lang w:eastAsia="en-AU"/>
        </w:rPr>
        <w:drawing>
          <wp:inline distT="0" distB="0" distL="0" distR="0" wp14:anchorId="73A551D8" wp14:editId="0012D30A">
            <wp:extent cx="5732145" cy="3395345"/>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 1 competency standards.png"/>
                    <pic:cNvPicPr/>
                  </pic:nvPicPr>
                  <pic:blipFill>
                    <a:blip r:embed="rId19"/>
                    <a:stretch>
                      <a:fillRect/>
                    </a:stretch>
                  </pic:blipFill>
                  <pic:spPr>
                    <a:xfrm>
                      <a:off x="0" y="0"/>
                      <a:ext cx="5732145" cy="3395345"/>
                    </a:xfrm>
                    <a:prstGeom prst="rect">
                      <a:avLst/>
                    </a:prstGeom>
                  </pic:spPr>
                </pic:pic>
              </a:graphicData>
            </a:graphic>
          </wp:inline>
        </w:drawing>
      </w:r>
    </w:p>
    <w:p w14:paraId="46A7DED0" w14:textId="77777777" w:rsidR="00962BAB" w:rsidRPr="006325C2" w:rsidRDefault="00962BAB" w:rsidP="00A4198D">
      <w:pPr>
        <w:pStyle w:val="Heading1"/>
      </w:pPr>
      <w:bookmarkStart w:id="28" w:name="_Toc418368768"/>
      <w:bookmarkStart w:id="29" w:name="_Toc419887194"/>
      <w:bookmarkStart w:id="30" w:name="_Toc446242261"/>
      <w:r w:rsidRPr="00677889">
        <w:t>REVIEW AND CONSULTATION PROCESS</w:t>
      </w:r>
      <w:bookmarkEnd w:id="28"/>
      <w:bookmarkEnd w:id="29"/>
      <w:bookmarkEnd w:id="30"/>
    </w:p>
    <w:p w14:paraId="311BA436" w14:textId="77777777" w:rsidR="00145760" w:rsidRPr="00677889" w:rsidRDefault="00145760" w:rsidP="000B1DD4">
      <w:pPr>
        <w:pStyle w:val="BodyText"/>
      </w:pPr>
      <w:r w:rsidRPr="00677889">
        <w:t xml:space="preserve">In reviewing and revising these standards the consultant </w:t>
      </w:r>
      <w:r w:rsidR="007B5182" w:rsidRPr="00677889">
        <w:t>worked</w:t>
      </w:r>
      <w:r w:rsidRPr="00677889">
        <w:t xml:space="preserve"> with the Steering Committee to synthesise and translate current evidence, expert opinion and stakeholder feedback to update and improve the current standards so they continue to safeguard and promote the health, safety and wellbeing of those Australians, New Zealanders and visitors to our shores receiving services provided by chiropractors.</w:t>
      </w:r>
    </w:p>
    <w:p w14:paraId="0C776C82" w14:textId="77777777" w:rsidR="00145760" w:rsidRPr="00677889" w:rsidRDefault="00145760" w:rsidP="000B1DD4">
      <w:pPr>
        <w:pStyle w:val="BodyText"/>
        <w:rPr>
          <w:i/>
        </w:rPr>
      </w:pPr>
      <w:r w:rsidRPr="00677889">
        <w:t>The previous work in developing competency and education</w:t>
      </w:r>
      <w:r w:rsidR="008C176B" w:rsidRPr="00677889">
        <w:t>al</w:t>
      </w:r>
      <w:r w:rsidRPr="00677889">
        <w:t xml:space="preserve"> standards </w:t>
      </w:r>
      <w:r w:rsidR="007B7557" w:rsidRPr="00677889">
        <w:t xml:space="preserve">used to date in the accreditation of chiropractic programs </w:t>
      </w:r>
      <w:r w:rsidRPr="00677889">
        <w:t xml:space="preserve">is recognised and valued. Also, significant work has been done by other health professional boards and accreditation authorities in New Zealand and Australia and has informed the review. </w:t>
      </w:r>
      <w:r w:rsidR="00503913" w:rsidRPr="00677889">
        <w:t>CCEA would particularly like to thank the Australian Dental Council for sharing their research and accreditation standards, and allowing the CCEA to adopt much of th</w:t>
      </w:r>
      <w:r w:rsidR="000165CA" w:rsidRPr="00677889">
        <w:t>is</w:t>
      </w:r>
      <w:r w:rsidR="00503913" w:rsidRPr="00677889">
        <w:t xml:space="preserve"> framework</w:t>
      </w:r>
      <w:r w:rsidR="000165CA" w:rsidRPr="00677889">
        <w:t xml:space="preserve"> for the CCEA Accreditation Standards</w:t>
      </w:r>
      <w:r w:rsidR="00503913" w:rsidRPr="00677889">
        <w:t xml:space="preserve">. </w:t>
      </w:r>
      <w:r w:rsidR="009173C1" w:rsidRPr="00677889">
        <w:t>The</w:t>
      </w:r>
      <w:r w:rsidRPr="00677889">
        <w:t xml:space="preserve"> revised standards </w:t>
      </w:r>
      <w:r w:rsidR="009173C1" w:rsidRPr="00677889">
        <w:t xml:space="preserve">also </w:t>
      </w:r>
      <w:r w:rsidRPr="00677889">
        <w:t>buil</w:t>
      </w:r>
      <w:r w:rsidR="009173C1" w:rsidRPr="00677889">
        <w:t>d</w:t>
      </w:r>
      <w:r w:rsidRPr="00677889">
        <w:t xml:space="preserve"> on the responsibilities of CCEA, CBA and the NZCB under the National Law and </w:t>
      </w:r>
      <w:r w:rsidRPr="00677889">
        <w:rPr>
          <w:i/>
        </w:rPr>
        <w:t>the Health Practitioners Competence Assurance Act 2003.</w:t>
      </w:r>
    </w:p>
    <w:p w14:paraId="5C8A763D" w14:textId="77777777" w:rsidR="009173C1" w:rsidRPr="00677889" w:rsidRDefault="009173C1" w:rsidP="000B1DD4">
      <w:pPr>
        <w:pStyle w:val="BodyText"/>
      </w:pPr>
      <w:r w:rsidRPr="00677889">
        <w:t xml:space="preserve">In reviewing these two seminal sets of standards, CCEA </w:t>
      </w:r>
      <w:r w:rsidR="00124939" w:rsidRPr="00677889">
        <w:t>demonstrated</w:t>
      </w:r>
      <w:r w:rsidR="00C02C9D" w:rsidRPr="00677889">
        <w:t xml:space="preserve"> </w:t>
      </w:r>
      <w:r w:rsidRPr="00677889">
        <w:t>a strong desire to engage with practising chiropractors, chiropractic educators and academics, students, regulators, the community at large, the other health professions and other key stakeholders with an interest in competent chiropractors providing safe, ethical chiropractic care</w:t>
      </w:r>
      <w:r w:rsidR="008A4BB4" w:rsidRPr="00677889">
        <w:t xml:space="preserve"> to the communities in Australia </w:t>
      </w:r>
      <w:r w:rsidRPr="00677889">
        <w:t>New Zealand</w:t>
      </w:r>
      <w:r w:rsidR="008A4BB4" w:rsidRPr="00677889">
        <w:t xml:space="preserve"> and the other Australasian countries where these standards are applied.</w:t>
      </w:r>
    </w:p>
    <w:p w14:paraId="46E6F925" w14:textId="77777777" w:rsidR="009173C1" w:rsidRPr="00677889" w:rsidRDefault="009173C1" w:rsidP="000B1DD4">
      <w:pPr>
        <w:pStyle w:val="BodyText"/>
      </w:pPr>
      <w:r w:rsidRPr="00677889">
        <w:lastRenderedPageBreak/>
        <w:t>A Consultation Paper was prepared and circulated with a</w:t>
      </w:r>
      <w:r w:rsidR="00145760" w:rsidRPr="00677889">
        <w:t>n environmental scan of current research, policy and practice in health, education, the profession and regulati</w:t>
      </w:r>
      <w:r w:rsidR="00752349" w:rsidRPr="00677889">
        <w:t xml:space="preserve">on in Australia, New Zealand and other international loci </w:t>
      </w:r>
      <w:r w:rsidR="004462F0" w:rsidRPr="00677889">
        <w:t>and widely circulated.</w:t>
      </w:r>
    </w:p>
    <w:p w14:paraId="25F0EB5E" w14:textId="77777777" w:rsidR="00145760" w:rsidRPr="00677889" w:rsidRDefault="009173C1" w:rsidP="000B1DD4">
      <w:pPr>
        <w:pStyle w:val="BodyText"/>
      </w:pPr>
      <w:r w:rsidRPr="00677889">
        <w:t>Considerable feedback was received through submissions based on this medium, an on-line survey and three stakeholder forums held in Perth, Sydney and Auckland.</w:t>
      </w:r>
    </w:p>
    <w:p w14:paraId="26823058" w14:textId="77777777" w:rsidR="00C02C9D" w:rsidRPr="00677889" w:rsidRDefault="00962BAB" w:rsidP="000B1DD4">
      <w:pPr>
        <w:pStyle w:val="BodyText"/>
      </w:pPr>
      <w:r w:rsidRPr="00677889">
        <w:t xml:space="preserve">After </w:t>
      </w:r>
      <w:r w:rsidR="009173C1" w:rsidRPr="00677889">
        <w:t>th</w:t>
      </w:r>
      <w:r w:rsidR="005A641F" w:rsidRPr="00677889">
        <w:t>e</w:t>
      </w:r>
      <w:r w:rsidRPr="00677889">
        <w:t xml:space="preserve"> first round of extensive consultation with stakeholders</w:t>
      </w:r>
      <w:r w:rsidR="004462F0" w:rsidRPr="00677889">
        <w:t>, the first version of</w:t>
      </w:r>
      <w:r w:rsidRPr="00677889">
        <w:t xml:space="preserve"> the </w:t>
      </w:r>
      <w:r w:rsidR="00124939" w:rsidRPr="00677889">
        <w:t>d</w:t>
      </w:r>
      <w:r w:rsidRPr="00677889">
        <w:t xml:space="preserve">raft </w:t>
      </w:r>
      <w:r w:rsidR="00124939" w:rsidRPr="00677889">
        <w:t>s</w:t>
      </w:r>
      <w:r w:rsidRPr="00677889">
        <w:t xml:space="preserve">tandards </w:t>
      </w:r>
      <w:r w:rsidR="00C02C9D" w:rsidRPr="00677889">
        <w:t>we</w:t>
      </w:r>
      <w:r w:rsidRPr="00677889">
        <w:t>re presented for comment and feedback.</w:t>
      </w:r>
      <w:r w:rsidR="00C02C9D" w:rsidRPr="00677889">
        <w:t xml:space="preserve"> </w:t>
      </w:r>
      <w:r w:rsidR="00124939" w:rsidRPr="00677889">
        <w:t>S</w:t>
      </w:r>
      <w:r w:rsidR="00C02C9D" w:rsidRPr="00677889">
        <w:t xml:space="preserve">ubmissions were received from </w:t>
      </w:r>
      <w:r w:rsidR="00124939" w:rsidRPr="00677889">
        <w:t xml:space="preserve">key and </w:t>
      </w:r>
      <w:r w:rsidR="00C02C9D" w:rsidRPr="00677889">
        <w:t xml:space="preserve">interested agencies, organisations and individuals providing comment and offering advice on improvements that could be made. </w:t>
      </w:r>
      <w:r w:rsidR="00124939" w:rsidRPr="00677889">
        <w:t>A</w:t>
      </w:r>
      <w:r w:rsidR="00C02C9D" w:rsidRPr="00677889">
        <w:t xml:space="preserve">mendments </w:t>
      </w:r>
      <w:r w:rsidR="00124939" w:rsidRPr="00677889">
        <w:t xml:space="preserve">were made </w:t>
      </w:r>
      <w:r w:rsidR="00C02C9D" w:rsidRPr="00677889">
        <w:t>to the Standards based on these submissions</w:t>
      </w:r>
      <w:r w:rsidR="00124939" w:rsidRPr="00677889">
        <w:t>;</w:t>
      </w:r>
      <w:r w:rsidR="00C02C9D" w:rsidRPr="00677889">
        <w:t xml:space="preserve"> </w:t>
      </w:r>
      <w:r w:rsidR="00124939" w:rsidRPr="00677889">
        <w:t>and those s</w:t>
      </w:r>
      <w:r w:rsidR="00C02C9D" w:rsidRPr="00677889">
        <w:t xml:space="preserve">uggestions and commentary </w:t>
      </w:r>
      <w:r w:rsidR="00124939" w:rsidRPr="00677889">
        <w:t xml:space="preserve">not included </w:t>
      </w:r>
      <w:r w:rsidR="001A56A6" w:rsidRPr="00677889">
        <w:t xml:space="preserve">will be </w:t>
      </w:r>
      <w:r w:rsidR="00124939" w:rsidRPr="00677889">
        <w:t>used to form part of</w:t>
      </w:r>
      <w:r w:rsidR="00C02C9D" w:rsidRPr="00677889">
        <w:t xml:space="preserve"> the accompanying explanatory statements and notes that </w:t>
      </w:r>
      <w:r w:rsidR="00124939" w:rsidRPr="00677889">
        <w:t>are also key elements of the accreditation scheme.</w:t>
      </w:r>
    </w:p>
    <w:p w14:paraId="6B856679" w14:textId="77777777" w:rsidR="006D0327" w:rsidRPr="00677889" w:rsidRDefault="00962BAB" w:rsidP="000B1DD4">
      <w:pPr>
        <w:pStyle w:val="BodyText"/>
        <w:rPr>
          <w:lang w:eastAsia="en-AU"/>
        </w:rPr>
      </w:pPr>
      <w:r w:rsidRPr="00677889">
        <w:rPr>
          <w:lang w:eastAsia="en-AU"/>
        </w:rPr>
        <w:t xml:space="preserve">It should be </w:t>
      </w:r>
      <w:r w:rsidR="00C02C9D" w:rsidRPr="00677889">
        <w:rPr>
          <w:lang w:eastAsia="en-AU"/>
        </w:rPr>
        <w:t xml:space="preserve">again </w:t>
      </w:r>
      <w:r w:rsidRPr="00677889">
        <w:rPr>
          <w:lang w:eastAsia="en-AU"/>
        </w:rPr>
        <w:t xml:space="preserve">noted that the </w:t>
      </w:r>
      <w:r w:rsidR="00124939" w:rsidRPr="00677889">
        <w:rPr>
          <w:lang w:eastAsia="en-AU"/>
        </w:rPr>
        <w:t>s</w:t>
      </w:r>
      <w:r w:rsidRPr="00677889">
        <w:rPr>
          <w:lang w:eastAsia="en-AU"/>
        </w:rPr>
        <w:t>tandards are only one part of the a</w:t>
      </w:r>
      <w:r w:rsidR="001F1C03" w:rsidRPr="00677889">
        <w:rPr>
          <w:lang w:eastAsia="en-AU"/>
        </w:rPr>
        <w:t xml:space="preserve">ccreditation </w:t>
      </w:r>
      <w:r w:rsidR="00145760" w:rsidRPr="00677889">
        <w:rPr>
          <w:lang w:eastAsia="en-AU"/>
        </w:rPr>
        <w:t>scheme</w:t>
      </w:r>
      <w:r w:rsidR="001F1C03" w:rsidRPr="00677889">
        <w:rPr>
          <w:lang w:eastAsia="en-AU"/>
        </w:rPr>
        <w:t xml:space="preserve">. During the consultation </w:t>
      </w:r>
      <w:r w:rsidR="005138EE" w:rsidRPr="00677889">
        <w:rPr>
          <w:lang w:eastAsia="en-AU"/>
        </w:rPr>
        <w:t xml:space="preserve">phase, </w:t>
      </w:r>
      <w:r w:rsidR="001F1C03" w:rsidRPr="00677889">
        <w:rPr>
          <w:lang w:eastAsia="en-AU"/>
        </w:rPr>
        <w:t>stakeholders provided the Steering Committee with feedback on a number of aspects of accreditation that are ca</w:t>
      </w:r>
      <w:r w:rsidR="00145760" w:rsidRPr="00677889">
        <w:rPr>
          <w:lang w:eastAsia="en-AU"/>
        </w:rPr>
        <w:t>ptured in Diagram 2 below.</w:t>
      </w:r>
    </w:p>
    <w:p w14:paraId="561161AB" w14:textId="77777777" w:rsidR="006325C2" w:rsidRDefault="006325C2" w:rsidP="005A6ADD">
      <w:pPr>
        <w:keepLines w:val="0"/>
        <w:widowControl/>
        <w:spacing w:before="120"/>
        <w:rPr>
          <w:b/>
          <w:sz w:val="20"/>
          <w:szCs w:val="20"/>
          <w:lang w:val="en-US" w:eastAsia="en-AU"/>
        </w:rPr>
      </w:pPr>
      <w:r>
        <w:rPr>
          <w:b/>
          <w:noProof/>
          <w:sz w:val="20"/>
          <w:szCs w:val="20"/>
          <w:lang w:eastAsia="en-AU"/>
        </w:rPr>
        <w:drawing>
          <wp:inline distT="0" distB="0" distL="0" distR="0" wp14:anchorId="1261BA60" wp14:editId="53EC4100">
            <wp:extent cx="5528589" cy="1104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 2 elements of accreditation.png"/>
                    <pic:cNvPicPr/>
                  </pic:nvPicPr>
                  <pic:blipFill>
                    <a:blip r:embed="rId20"/>
                    <a:stretch>
                      <a:fillRect/>
                    </a:stretch>
                  </pic:blipFill>
                  <pic:spPr>
                    <a:xfrm>
                      <a:off x="0" y="0"/>
                      <a:ext cx="5535188" cy="1106219"/>
                    </a:xfrm>
                    <a:prstGeom prst="rect">
                      <a:avLst/>
                    </a:prstGeom>
                  </pic:spPr>
                </pic:pic>
              </a:graphicData>
            </a:graphic>
          </wp:inline>
        </w:drawing>
      </w:r>
    </w:p>
    <w:p w14:paraId="285E5140" w14:textId="196BC280" w:rsidR="00145760" w:rsidRPr="00677889" w:rsidRDefault="00145760" w:rsidP="005A6ADD">
      <w:pPr>
        <w:keepLines w:val="0"/>
        <w:widowControl/>
        <w:spacing w:before="120"/>
        <w:rPr>
          <w:b/>
          <w:sz w:val="20"/>
          <w:szCs w:val="20"/>
          <w:lang w:val="en-US" w:eastAsia="en-AU"/>
        </w:rPr>
      </w:pPr>
      <w:r w:rsidRPr="00677889">
        <w:rPr>
          <w:b/>
          <w:sz w:val="20"/>
          <w:szCs w:val="20"/>
          <w:lang w:val="en-US" w:eastAsia="en-AU"/>
        </w:rPr>
        <w:t>Diagram 2 – the elements of the accreditation scheme</w:t>
      </w:r>
    </w:p>
    <w:p w14:paraId="455FBCF9" w14:textId="77777777" w:rsidR="001F1C03" w:rsidRPr="00677889" w:rsidRDefault="001F1C03" w:rsidP="002A11E0">
      <w:pPr>
        <w:pStyle w:val="BodyText"/>
        <w:numPr>
          <w:ilvl w:val="0"/>
          <w:numId w:val="17"/>
        </w:numPr>
        <w:rPr>
          <w:lang w:eastAsia="en-AU"/>
        </w:rPr>
      </w:pPr>
      <w:r w:rsidRPr="00677889">
        <w:rPr>
          <w:b/>
          <w:lang w:eastAsia="en-AU"/>
        </w:rPr>
        <w:t xml:space="preserve">The explanatory statements and notes to the </w:t>
      </w:r>
      <w:r w:rsidR="00340895" w:rsidRPr="00677889">
        <w:rPr>
          <w:b/>
          <w:lang w:eastAsia="en-AU"/>
        </w:rPr>
        <w:t>s</w:t>
      </w:r>
      <w:r w:rsidRPr="00677889">
        <w:rPr>
          <w:b/>
          <w:lang w:eastAsia="en-AU"/>
        </w:rPr>
        <w:t>tandards</w:t>
      </w:r>
      <w:r w:rsidRPr="00677889">
        <w:rPr>
          <w:lang w:eastAsia="en-AU"/>
        </w:rPr>
        <w:t xml:space="preserve"> </w:t>
      </w:r>
      <w:r w:rsidR="00340895" w:rsidRPr="00677889">
        <w:rPr>
          <w:lang w:eastAsia="en-AU"/>
        </w:rPr>
        <w:t>– in the case of the accreditation standards these provide</w:t>
      </w:r>
      <w:r w:rsidRPr="00677889">
        <w:rPr>
          <w:lang w:eastAsia="en-AU"/>
        </w:rPr>
        <w:t xml:space="preserve"> background information </w:t>
      </w:r>
      <w:r w:rsidR="00340895" w:rsidRPr="00677889">
        <w:rPr>
          <w:lang w:eastAsia="en-AU"/>
        </w:rPr>
        <w:t xml:space="preserve">and guidance </w:t>
      </w:r>
      <w:r w:rsidRPr="00677889">
        <w:rPr>
          <w:lang w:eastAsia="en-AU"/>
        </w:rPr>
        <w:t xml:space="preserve">for education providers, assessors and others using the </w:t>
      </w:r>
      <w:r w:rsidR="00340895" w:rsidRPr="00677889">
        <w:rPr>
          <w:lang w:eastAsia="en-AU"/>
        </w:rPr>
        <w:t>s</w:t>
      </w:r>
      <w:r w:rsidRPr="00677889">
        <w:rPr>
          <w:lang w:eastAsia="en-AU"/>
        </w:rPr>
        <w:t>tandards</w:t>
      </w:r>
      <w:r w:rsidR="00EE1D10" w:rsidRPr="00677889">
        <w:rPr>
          <w:lang w:eastAsia="en-AU"/>
        </w:rPr>
        <w:t>.</w:t>
      </w:r>
      <w:r w:rsidRPr="00677889">
        <w:rPr>
          <w:lang w:eastAsia="en-AU"/>
        </w:rPr>
        <w:t xml:space="preserve"> </w:t>
      </w:r>
      <w:r w:rsidR="00EE1D10" w:rsidRPr="00677889">
        <w:rPr>
          <w:lang w:eastAsia="en-AU"/>
        </w:rPr>
        <w:t xml:space="preserve">This </w:t>
      </w:r>
      <w:r w:rsidR="00340895" w:rsidRPr="00677889">
        <w:rPr>
          <w:lang w:eastAsia="en-AU"/>
        </w:rPr>
        <w:t xml:space="preserve">can </w:t>
      </w:r>
      <w:r w:rsidR="005138EE" w:rsidRPr="00677889">
        <w:rPr>
          <w:lang w:eastAsia="en-AU"/>
        </w:rPr>
        <w:t xml:space="preserve">involve describing examples of evidence that could be </w:t>
      </w:r>
      <w:r w:rsidR="00EE1D10" w:rsidRPr="00677889">
        <w:rPr>
          <w:lang w:eastAsia="en-AU"/>
        </w:rPr>
        <w:t>provided by education providers;</w:t>
      </w:r>
      <w:r w:rsidR="005138EE" w:rsidRPr="00677889">
        <w:rPr>
          <w:lang w:eastAsia="en-AU"/>
        </w:rPr>
        <w:t xml:space="preserve"> or guidelines that describe current expectations based on benchmarking or other reference points. For the competency standards, th</w:t>
      </w:r>
      <w:r w:rsidR="00EE1D10" w:rsidRPr="00677889">
        <w:rPr>
          <w:lang w:eastAsia="en-AU"/>
        </w:rPr>
        <w:t>is</w:t>
      </w:r>
      <w:r w:rsidR="005138EE" w:rsidRPr="00677889">
        <w:rPr>
          <w:lang w:eastAsia="en-AU"/>
        </w:rPr>
        <w:t xml:space="preserve"> </w:t>
      </w:r>
      <w:r w:rsidR="00340895" w:rsidRPr="00677889">
        <w:rPr>
          <w:lang w:eastAsia="en-AU"/>
        </w:rPr>
        <w:t>can</w:t>
      </w:r>
      <w:r w:rsidR="005138EE" w:rsidRPr="00677889">
        <w:rPr>
          <w:lang w:eastAsia="en-AU"/>
        </w:rPr>
        <w:t xml:space="preserve"> involve describing the specific ‘</w:t>
      </w:r>
      <w:r w:rsidR="00340895" w:rsidRPr="00677889">
        <w:rPr>
          <w:lang w:eastAsia="en-AU"/>
        </w:rPr>
        <w:t>k</w:t>
      </w:r>
      <w:r w:rsidR="005138EE" w:rsidRPr="00677889">
        <w:rPr>
          <w:lang w:eastAsia="en-AU"/>
        </w:rPr>
        <w:t xml:space="preserve">nowledge, </w:t>
      </w:r>
      <w:r w:rsidR="00340895" w:rsidRPr="00677889">
        <w:rPr>
          <w:lang w:eastAsia="en-AU"/>
        </w:rPr>
        <w:t>s</w:t>
      </w:r>
      <w:r w:rsidR="005138EE" w:rsidRPr="00677889">
        <w:rPr>
          <w:lang w:eastAsia="en-AU"/>
        </w:rPr>
        <w:t xml:space="preserve">kills and </w:t>
      </w:r>
      <w:r w:rsidR="00340895" w:rsidRPr="00677889">
        <w:rPr>
          <w:lang w:eastAsia="en-AU"/>
        </w:rPr>
        <w:t>a</w:t>
      </w:r>
      <w:r w:rsidR="005138EE" w:rsidRPr="00677889">
        <w:rPr>
          <w:lang w:eastAsia="en-AU"/>
        </w:rPr>
        <w:t>ttributes’ that underpin the</w:t>
      </w:r>
      <w:r w:rsidR="00EE1D10" w:rsidRPr="00677889">
        <w:rPr>
          <w:lang w:eastAsia="en-AU"/>
        </w:rPr>
        <w:t xml:space="preserve"> standards;</w:t>
      </w:r>
      <w:r w:rsidR="005138EE" w:rsidRPr="00677889">
        <w:rPr>
          <w:lang w:eastAsia="en-AU"/>
        </w:rPr>
        <w:t xml:space="preserve"> or evidence </w:t>
      </w:r>
      <w:r w:rsidR="00340895" w:rsidRPr="00677889">
        <w:rPr>
          <w:lang w:eastAsia="en-AU"/>
        </w:rPr>
        <w:t xml:space="preserve">of </w:t>
      </w:r>
      <w:r w:rsidR="005138EE" w:rsidRPr="00677889">
        <w:rPr>
          <w:lang w:eastAsia="en-AU"/>
        </w:rPr>
        <w:t>examples to support education providers in the teaching and assessment of them.</w:t>
      </w:r>
    </w:p>
    <w:p w14:paraId="04E16331" w14:textId="77777777" w:rsidR="001F1C03" w:rsidRPr="00677889" w:rsidRDefault="001F1C03" w:rsidP="002A11E0">
      <w:pPr>
        <w:pStyle w:val="BodyText"/>
        <w:numPr>
          <w:ilvl w:val="0"/>
          <w:numId w:val="17"/>
        </w:numPr>
        <w:rPr>
          <w:lang w:eastAsia="en-AU"/>
        </w:rPr>
      </w:pPr>
      <w:r w:rsidRPr="00677889">
        <w:rPr>
          <w:b/>
          <w:lang w:eastAsia="en-AU"/>
        </w:rPr>
        <w:t xml:space="preserve">The accreditation </w:t>
      </w:r>
      <w:r w:rsidR="00145760" w:rsidRPr="00677889">
        <w:rPr>
          <w:b/>
          <w:lang w:eastAsia="en-AU"/>
        </w:rPr>
        <w:t xml:space="preserve">system and </w:t>
      </w:r>
      <w:r w:rsidRPr="00677889">
        <w:rPr>
          <w:b/>
          <w:lang w:eastAsia="en-AU"/>
        </w:rPr>
        <w:t xml:space="preserve">processes </w:t>
      </w:r>
      <w:r w:rsidRPr="00677889">
        <w:rPr>
          <w:lang w:eastAsia="en-AU"/>
        </w:rPr>
        <w:t>– the design of the accreditation system</w:t>
      </w:r>
      <w:r w:rsidR="00145760" w:rsidRPr="00677889">
        <w:rPr>
          <w:lang w:eastAsia="en-AU"/>
        </w:rPr>
        <w:t xml:space="preserve">, the </w:t>
      </w:r>
      <w:r w:rsidRPr="00677889">
        <w:rPr>
          <w:lang w:eastAsia="en-AU"/>
        </w:rPr>
        <w:t>guidelines</w:t>
      </w:r>
      <w:r w:rsidR="00145760" w:rsidRPr="00677889">
        <w:rPr>
          <w:lang w:eastAsia="en-AU"/>
        </w:rPr>
        <w:t>, timelines</w:t>
      </w:r>
      <w:r w:rsidRPr="00677889">
        <w:rPr>
          <w:lang w:eastAsia="en-AU"/>
        </w:rPr>
        <w:t xml:space="preserve"> and </w:t>
      </w:r>
      <w:r w:rsidR="00145760" w:rsidRPr="00677889">
        <w:rPr>
          <w:lang w:eastAsia="en-AU"/>
        </w:rPr>
        <w:t xml:space="preserve">the administration of the scheme </w:t>
      </w:r>
      <w:r w:rsidR="00340895" w:rsidRPr="00677889">
        <w:rPr>
          <w:lang w:eastAsia="en-AU"/>
        </w:rPr>
        <w:t>are critical to the operations of accreditation and are</w:t>
      </w:r>
      <w:r w:rsidR="00145760" w:rsidRPr="00677889">
        <w:rPr>
          <w:lang w:eastAsia="en-AU"/>
        </w:rPr>
        <w:t xml:space="preserve"> reviewed </w:t>
      </w:r>
      <w:r w:rsidR="00340895" w:rsidRPr="00677889">
        <w:rPr>
          <w:lang w:eastAsia="en-AU"/>
        </w:rPr>
        <w:t xml:space="preserve">and improved on an ongoing basis </w:t>
      </w:r>
      <w:r w:rsidR="00145760" w:rsidRPr="00677889">
        <w:rPr>
          <w:lang w:eastAsia="en-AU"/>
        </w:rPr>
        <w:t>in light of comments received and improvements suggested.</w:t>
      </w:r>
      <w:r w:rsidR="00EE1D10" w:rsidRPr="00677889">
        <w:rPr>
          <w:lang w:eastAsia="en-AU"/>
        </w:rPr>
        <w:t xml:space="preserve"> The accreditation processes provide the infrastructure for the system of accreditation and assessment using the standards by trained site evaluation team members.</w:t>
      </w:r>
    </w:p>
    <w:p w14:paraId="55A71442" w14:textId="77777777" w:rsidR="00145760" w:rsidRPr="00677889" w:rsidRDefault="00145760" w:rsidP="002A11E0">
      <w:pPr>
        <w:pStyle w:val="BodyText"/>
        <w:numPr>
          <w:ilvl w:val="0"/>
          <w:numId w:val="17"/>
        </w:numPr>
        <w:rPr>
          <w:lang w:val="en-US" w:eastAsia="en-AU"/>
        </w:rPr>
      </w:pPr>
      <w:r w:rsidRPr="00677889">
        <w:rPr>
          <w:b/>
          <w:lang w:eastAsia="en-AU"/>
        </w:rPr>
        <w:t xml:space="preserve">The competence of </w:t>
      </w:r>
      <w:r w:rsidR="00A63107" w:rsidRPr="00677889">
        <w:rPr>
          <w:b/>
          <w:lang w:eastAsia="en-AU"/>
        </w:rPr>
        <w:t>site evaluation</w:t>
      </w:r>
      <w:r w:rsidRPr="00677889">
        <w:rPr>
          <w:b/>
          <w:lang w:eastAsia="en-AU"/>
        </w:rPr>
        <w:t xml:space="preserve"> team members </w:t>
      </w:r>
      <w:r w:rsidR="00EE1D10" w:rsidRPr="00677889">
        <w:rPr>
          <w:lang w:eastAsia="en-AU"/>
        </w:rPr>
        <w:t xml:space="preserve">- is a vital ingredient in the accreditation system. It is </w:t>
      </w:r>
      <w:r w:rsidRPr="00677889">
        <w:rPr>
          <w:lang w:eastAsia="en-AU"/>
        </w:rPr>
        <w:t xml:space="preserve">recognised that the </w:t>
      </w:r>
      <w:r w:rsidR="00A63107" w:rsidRPr="00677889">
        <w:rPr>
          <w:lang w:eastAsia="en-AU"/>
        </w:rPr>
        <w:t>site evaluation</w:t>
      </w:r>
      <w:r w:rsidRPr="00677889">
        <w:rPr>
          <w:lang w:eastAsia="en-AU"/>
        </w:rPr>
        <w:t xml:space="preserve"> team members participating in the accreditation of a chiropractic education program require careful induction to the philosophy and functions of the scheme</w:t>
      </w:r>
      <w:r w:rsidR="00EE1D10" w:rsidRPr="00677889">
        <w:rPr>
          <w:lang w:eastAsia="en-AU"/>
        </w:rPr>
        <w:t>, training in the process of evaluation using the standards</w:t>
      </w:r>
      <w:r w:rsidRPr="00677889">
        <w:rPr>
          <w:lang w:eastAsia="en-AU"/>
        </w:rPr>
        <w:t xml:space="preserve"> and ongoing professional development.</w:t>
      </w:r>
    </w:p>
    <w:p w14:paraId="05C1106E" w14:textId="77777777" w:rsidR="005138EE" w:rsidRPr="00677889" w:rsidRDefault="005138EE" w:rsidP="005138EE">
      <w:pPr>
        <w:pStyle w:val="BodyText"/>
        <w:rPr>
          <w:lang w:val="en-US" w:eastAsia="en-AU"/>
        </w:rPr>
      </w:pPr>
      <w:r w:rsidRPr="00677889">
        <w:rPr>
          <w:lang w:val="en-US" w:eastAsia="en-AU"/>
        </w:rPr>
        <w:lastRenderedPageBreak/>
        <w:t xml:space="preserve">These aspects of accreditation </w:t>
      </w:r>
      <w:r w:rsidR="00EE1D10" w:rsidRPr="00677889">
        <w:rPr>
          <w:lang w:val="en-US" w:eastAsia="en-AU"/>
        </w:rPr>
        <w:t>are</w:t>
      </w:r>
      <w:r w:rsidRPr="00677889">
        <w:rPr>
          <w:lang w:val="en-US" w:eastAsia="en-AU"/>
        </w:rPr>
        <w:t xml:space="preserve"> reviewed and </w:t>
      </w:r>
      <w:r w:rsidR="00124939" w:rsidRPr="00677889">
        <w:rPr>
          <w:lang w:val="en-US" w:eastAsia="en-AU"/>
        </w:rPr>
        <w:t xml:space="preserve">further </w:t>
      </w:r>
      <w:r w:rsidRPr="00677889">
        <w:rPr>
          <w:lang w:val="en-US" w:eastAsia="en-AU"/>
        </w:rPr>
        <w:t xml:space="preserve">developed </w:t>
      </w:r>
      <w:r w:rsidR="00EE1D10" w:rsidRPr="00677889">
        <w:rPr>
          <w:lang w:val="en-US" w:eastAsia="en-AU"/>
        </w:rPr>
        <w:t>alongside</w:t>
      </w:r>
      <w:r w:rsidRPr="00677889">
        <w:rPr>
          <w:lang w:val="en-US" w:eastAsia="en-AU"/>
        </w:rPr>
        <w:t xml:space="preserve"> the revis</w:t>
      </w:r>
      <w:r w:rsidR="00EE1D10" w:rsidRPr="00677889">
        <w:rPr>
          <w:lang w:val="en-US" w:eastAsia="en-AU"/>
        </w:rPr>
        <w:t xml:space="preserve">ion of the accreditation and competency standards and are part of the </w:t>
      </w:r>
      <w:r w:rsidRPr="00677889">
        <w:rPr>
          <w:lang w:val="en-US" w:eastAsia="en-AU"/>
        </w:rPr>
        <w:t xml:space="preserve">implementation after the </w:t>
      </w:r>
      <w:r w:rsidR="00EE1D10" w:rsidRPr="00677889">
        <w:rPr>
          <w:lang w:val="en-US" w:eastAsia="en-AU"/>
        </w:rPr>
        <w:t>s</w:t>
      </w:r>
      <w:r w:rsidRPr="00677889">
        <w:rPr>
          <w:lang w:val="en-US" w:eastAsia="en-AU"/>
        </w:rPr>
        <w:t>tandards have been approved by the relevant registration authorities.</w:t>
      </w:r>
    </w:p>
    <w:p w14:paraId="5AA00761" w14:textId="77777777" w:rsidR="00613C7E" w:rsidRPr="00677889" w:rsidRDefault="00613C7E" w:rsidP="008A4BB4">
      <w:pPr>
        <w:pStyle w:val="BodyText"/>
        <w:jc w:val="center"/>
        <w:rPr>
          <w:sz w:val="28"/>
          <w:szCs w:val="28"/>
          <w:lang w:eastAsia="en-AU"/>
        </w:rPr>
      </w:pPr>
    </w:p>
    <w:p w14:paraId="4847EFA7" w14:textId="77777777" w:rsidR="00CC0A48" w:rsidRPr="00677889" w:rsidRDefault="00CC0A48" w:rsidP="004462F0">
      <w:pPr>
        <w:pStyle w:val="BodyText"/>
        <w:rPr>
          <w:color w:val="FF0000"/>
        </w:rPr>
        <w:sectPr w:rsidR="00CC0A48" w:rsidRPr="00677889" w:rsidSect="00E766C0">
          <w:headerReference w:type="even" r:id="rId21"/>
          <w:headerReference w:type="default" r:id="rId22"/>
          <w:headerReference w:type="first" r:id="rId23"/>
          <w:footerReference w:type="first" r:id="rId24"/>
          <w:type w:val="continuous"/>
          <w:pgSz w:w="11907" w:h="16840" w:code="9"/>
          <w:pgMar w:top="1440" w:right="1440" w:bottom="1440" w:left="1440" w:header="720" w:footer="720" w:gutter="0"/>
          <w:cols w:space="720"/>
          <w:docGrid w:linePitch="360"/>
        </w:sectPr>
      </w:pPr>
    </w:p>
    <w:p w14:paraId="0AC1A43A" w14:textId="6C22F246" w:rsidR="00FC2F0B" w:rsidRPr="00677889" w:rsidRDefault="00C02C9D" w:rsidP="00FC2F0B">
      <w:pPr>
        <w:pStyle w:val="Heading1"/>
      </w:pPr>
      <w:bookmarkStart w:id="31" w:name="_Toc446242262"/>
      <w:r w:rsidRPr="00677889">
        <w:lastRenderedPageBreak/>
        <w:t>ACCREDITATION</w:t>
      </w:r>
      <w:r w:rsidR="00FC2F0B" w:rsidRPr="00677889">
        <w:t xml:space="preserve"> </w:t>
      </w:r>
      <w:r w:rsidR="00260574" w:rsidRPr="00677889">
        <w:t>STANDARDS</w:t>
      </w:r>
      <w:bookmarkEnd w:id="31"/>
      <w:r w:rsidR="003E708F" w:rsidRPr="00677889">
        <w:t xml:space="preserve"> FOR CHIROPRACTIC PROGRAMS </w:t>
      </w:r>
    </w:p>
    <w:p w14:paraId="41C5EE48" w14:textId="5BE8DC59" w:rsidR="00FC2F0B" w:rsidRDefault="00FC2F0B" w:rsidP="000B51F0">
      <w:pPr>
        <w:pStyle w:val="Heading2"/>
      </w:pPr>
    </w:p>
    <w:p w14:paraId="4322799E" w14:textId="0E62DCCD" w:rsidR="006325C2" w:rsidRPr="006325C2" w:rsidRDefault="006325C2" w:rsidP="006325C2">
      <w:pPr>
        <w:pStyle w:val="BodyText"/>
        <w:sectPr w:rsidR="006325C2" w:rsidRPr="006325C2" w:rsidSect="003E708F">
          <w:pgSz w:w="16840" w:h="11907" w:orient="landscape" w:code="9"/>
          <w:pgMar w:top="1276" w:right="1440" w:bottom="1440" w:left="1440" w:header="720" w:footer="720" w:gutter="0"/>
          <w:cols w:space="720"/>
          <w:docGrid w:linePitch="360"/>
        </w:sectPr>
      </w:pPr>
      <w:r>
        <w:rPr>
          <w:noProof/>
          <w:lang w:eastAsia="en-AU"/>
        </w:rPr>
        <w:drawing>
          <wp:inline distT="0" distB="0" distL="0" distR="0" wp14:anchorId="01BD5242" wp14:editId="13F54754">
            <wp:extent cx="9153716" cy="1571625"/>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 3 accreditation standards model.png"/>
                    <pic:cNvPicPr/>
                  </pic:nvPicPr>
                  <pic:blipFill>
                    <a:blip r:embed="rId25"/>
                    <a:stretch>
                      <a:fillRect/>
                    </a:stretch>
                  </pic:blipFill>
                  <pic:spPr>
                    <a:xfrm>
                      <a:off x="0" y="0"/>
                      <a:ext cx="9157449" cy="1572266"/>
                    </a:xfrm>
                    <a:prstGeom prst="rect">
                      <a:avLst/>
                    </a:prstGeom>
                  </pic:spPr>
                </pic:pic>
              </a:graphicData>
            </a:graphic>
          </wp:inline>
        </w:drawing>
      </w:r>
    </w:p>
    <w:p w14:paraId="6153163F" w14:textId="77777777" w:rsidR="00FC2F0B" w:rsidRPr="00677889" w:rsidRDefault="00FC2F0B" w:rsidP="00FC2F0B">
      <w:pPr>
        <w:spacing w:before="120" w:after="120" w:line="240" w:lineRule="auto"/>
      </w:pPr>
    </w:p>
    <w:p w14:paraId="4B8963C6" w14:textId="77777777" w:rsidR="00CA21AE" w:rsidRPr="00677889" w:rsidRDefault="00CA21AE" w:rsidP="00FC2F0B">
      <w:pPr>
        <w:spacing w:before="120" w:after="120" w:line="240" w:lineRule="auto"/>
      </w:pPr>
    </w:p>
    <w:p w14:paraId="70C58A8E" w14:textId="77777777" w:rsidR="00CA21AE" w:rsidRPr="00677889" w:rsidRDefault="00CA21AE" w:rsidP="00FC2F0B">
      <w:pPr>
        <w:spacing w:before="120" w:after="120" w:line="240" w:lineRule="auto"/>
      </w:pPr>
    </w:p>
    <w:p w14:paraId="65614B71" w14:textId="77777777" w:rsidR="00CA21AE" w:rsidRPr="00677889" w:rsidRDefault="00640CB1" w:rsidP="000B51F0">
      <w:pPr>
        <w:pStyle w:val="Heading2"/>
      </w:pPr>
      <w:bookmarkStart w:id="32" w:name="_Toc435716077"/>
      <w:bookmarkStart w:id="33" w:name="_Toc435728893"/>
      <w:bookmarkStart w:id="34" w:name="_Toc437248405"/>
      <w:bookmarkStart w:id="35" w:name="_Toc446242264"/>
      <w:r w:rsidRPr="00677889">
        <w:t>Accreditation</w:t>
      </w:r>
      <w:r w:rsidR="00CA21AE" w:rsidRPr="00677889">
        <w:t xml:space="preserve"> Standards</w:t>
      </w:r>
      <w:bookmarkEnd w:id="32"/>
      <w:bookmarkEnd w:id="33"/>
      <w:bookmarkEnd w:id="34"/>
      <w:bookmarkEnd w:id="35"/>
      <w:r w:rsidR="003E708F" w:rsidRPr="00677889">
        <w:t xml:space="preserve"> Statements</w:t>
      </w:r>
    </w:p>
    <w:tbl>
      <w:tblPr>
        <w:tblStyle w:val="TableGrid"/>
        <w:tblW w:w="9240" w:type="dxa"/>
        <w:tblBorders>
          <w:top w:val="thinThickThinSmallGap" w:sz="24" w:space="0" w:color="EE7700"/>
          <w:left w:val="thinThickThinSmallGap" w:sz="24" w:space="0" w:color="EE7700"/>
          <w:bottom w:val="thinThickThinSmallGap" w:sz="24" w:space="0" w:color="EE7700"/>
          <w:right w:val="thinThickThinSmallGap" w:sz="24" w:space="0" w:color="EE7700"/>
          <w:insideH w:val="thinThickThinSmallGap" w:sz="24" w:space="0" w:color="EE7700"/>
          <w:insideV w:val="thinThickThinSmallGap" w:sz="24" w:space="0" w:color="EE7700"/>
        </w:tblBorders>
        <w:shd w:val="clear" w:color="auto" w:fill="FFE6CD"/>
        <w:tblLook w:val="04A0" w:firstRow="1" w:lastRow="0" w:firstColumn="1" w:lastColumn="0" w:noHBand="0" w:noVBand="1"/>
      </w:tblPr>
      <w:tblGrid>
        <w:gridCol w:w="9240"/>
      </w:tblGrid>
      <w:tr w:rsidR="00FC2F0B" w:rsidRPr="00677889" w14:paraId="49AE4701" w14:textId="77777777" w:rsidTr="00172C66">
        <w:tc>
          <w:tcPr>
            <w:tcW w:w="9240" w:type="dxa"/>
            <w:shd w:val="clear" w:color="auto" w:fill="FFE6CD"/>
          </w:tcPr>
          <w:p w14:paraId="60981094" w14:textId="77777777" w:rsidR="00FC2F0B" w:rsidRPr="00677889" w:rsidRDefault="00FC2F0B" w:rsidP="000B51F0">
            <w:pPr>
              <w:pStyle w:val="BodyText"/>
              <w:spacing w:before="240" w:line="300" w:lineRule="auto"/>
              <w:ind w:left="258" w:right="403"/>
              <w:rPr>
                <w:b/>
                <w:color w:val="375992" w:themeColor="accent5" w:themeShade="BF"/>
                <w:sz w:val="24"/>
                <w:szCs w:val="24"/>
              </w:rPr>
            </w:pPr>
            <w:r w:rsidRPr="00677889">
              <w:rPr>
                <w:b/>
                <w:color w:val="375992" w:themeColor="accent5" w:themeShade="BF"/>
                <w:sz w:val="24"/>
                <w:szCs w:val="24"/>
              </w:rPr>
              <w:t xml:space="preserve">STANDARD 1 </w:t>
            </w:r>
            <w:r w:rsidR="008C176B" w:rsidRPr="00677889">
              <w:rPr>
                <w:b/>
                <w:color w:val="375992" w:themeColor="accent5" w:themeShade="BF"/>
                <w:sz w:val="24"/>
                <w:szCs w:val="24"/>
              </w:rPr>
              <w:t>–</w:t>
            </w:r>
            <w:r w:rsidRPr="00677889">
              <w:rPr>
                <w:b/>
                <w:color w:val="375992" w:themeColor="accent5" w:themeShade="BF"/>
                <w:sz w:val="24"/>
                <w:szCs w:val="24"/>
              </w:rPr>
              <w:t xml:space="preserve"> </w:t>
            </w:r>
            <w:r w:rsidR="00E6361F" w:rsidRPr="00677889">
              <w:rPr>
                <w:b/>
                <w:color w:val="375992" w:themeColor="accent5" w:themeShade="BF"/>
                <w:sz w:val="24"/>
                <w:szCs w:val="24"/>
              </w:rPr>
              <w:t>PUBLIC</w:t>
            </w:r>
            <w:r w:rsidR="008C176B" w:rsidRPr="00677889">
              <w:rPr>
                <w:b/>
                <w:color w:val="375992" w:themeColor="accent5" w:themeShade="BF"/>
                <w:sz w:val="24"/>
                <w:szCs w:val="24"/>
              </w:rPr>
              <w:t xml:space="preserve"> </w:t>
            </w:r>
            <w:r w:rsidRPr="00677889">
              <w:rPr>
                <w:b/>
                <w:color w:val="375992" w:themeColor="accent5" w:themeShade="BF"/>
                <w:sz w:val="24"/>
                <w:szCs w:val="24"/>
              </w:rPr>
              <w:t>SAFETY</w:t>
            </w:r>
          </w:p>
          <w:p w14:paraId="44C0F880" w14:textId="681F3A35" w:rsidR="00FC2F0B" w:rsidRPr="00677889" w:rsidRDefault="00E6361F" w:rsidP="000B51F0">
            <w:pPr>
              <w:pStyle w:val="BodyText"/>
              <w:spacing w:before="240" w:line="300" w:lineRule="auto"/>
              <w:ind w:left="258" w:right="403"/>
              <w:rPr>
                <w:color w:val="375992" w:themeColor="accent5" w:themeShade="BF"/>
                <w:sz w:val="24"/>
                <w:szCs w:val="24"/>
              </w:rPr>
            </w:pPr>
            <w:r w:rsidRPr="00677889">
              <w:rPr>
                <w:color w:val="375992" w:themeColor="accent5" w:themeShade="BF"/>
                <w:sz w:val="24"/>
                <w:szCs w:val="24"/>
              </w:rPr>
              <w:t>Public</w:t>
            </w:r>
            <w:r w:rsidR="00FC2F0B" w:rsidRPr="00677889">
              <w:rPr>
                <w:color w:val="375992" w:themeColor="accent5" w:themeShade="BF"/>
                <w:sz w:val="24"/>
                <w:szCs w:val="24"/>
              </w:rPr>
              <w:t xml:space="preserve"> safety is </w:t>
            </w:r>
            <w:r w:rsidR="00C35919">
              <w:rPr>
                <w:color w:val="375992" w:themeColor="accent5" w:themeShade="BF"/>
                <w:sz w:val="24"/>
                <w:szCs w:val="24"/>
              </w:rPr>
              <w:t>assured</w:t>
            </w:r>
            <w:r w:rsidR="00FC2F0B" w:rsidRPr="00677889">
              <w:rPr>
                <w:color w:val="375992" w:themeColor="accent5" w:themeShade="BF"/>
                <w:sz w:val="24"/>
                <w:szCs w:val="24"/>
              </w:rPr>
              <w:t>.</w:t>
            </w:r>
          </w:p>
          <w:p w14:paraId="3A0A0E35" w14:textId="77777777" w:rsidR="00FC2F0B" w:rsidRPr="00677889" w:rsidRDefault="00FC2F0B" w:rsidP="000B51F0">
            <w:pPr>
              <w:pStyle w:val="BodyText"/>
              <w:spacing w:before="240" w:line="300" w:lineRule="auto"/>
              <w:ind w:left="258" w:right="403"/>
              <w:rPr>
                <w:b/>
                <w:color w:val="375992" w:themeColor="accent5" w:themeShade="BF"/>
                <w:sz w:val="24"/>
                <w:szCs w:val="24"/>
                <w:lang w:val="en-US"/>
              </w:rPr>
            </w:pPr>
            <w:r w:rsidRPr="00677889">
              <w:rPr>
                <w:b/>
                <w:color w:val="375992" w:themeColor="accent5" w:themeShade="BF"/>
                <w:sz w:val="24"/>
                <w:szCs w:val="24"/>
              </w:rPr>
              <w:t>STANDARD 2 – GOVERNANCE</w:t>
            </w:r>
            <w:r w:rsidRPr="00677889">
              <w:rPr>
                <w:b/>
                <w:color w:val="375992" w:themeColor="accent5" w:themeShade="BF"/>
                <w:sz w:val="24"/>
                <w:szCs w:val="24"/>
                <w:lang w:val="en-US"/>
              </w:rPr>
              <w:t xml:space="preserve"> AND QUALITY IMPROVEMENT</w:t>
            </w:r>
          </w:p>
          <w:p w14:paraId="2ECFDA93" w14:textId="77777777" w:rsidR="00FC2F0B" w:rsidRPr="00677889" w:rsidRDefault="00FC2F0B" w:rsidP="000B51F0">
            <w:pPr>
              <w:pStyle w:val="BodyText"/>
              <w:spacing w:before="240" w:line="300" w:lineRule="auto"/>
              <w:ind w:left="258" w:right="403"/>
              <w:rPr>
                <w:b/>
                <w:color w:val="375992" w:themeColor="accent5" w:themeShade="BF"/>
                <w:sz w:val="24"/>
                <w:szCs w:val="24"/>
              </w:rPr>
            </w:pPr>
            <w:r w:rsidRPr="00677889">
              <w:rPr>
                <w:color w:val="375992" w:themeColor="accent5" w:themeShade="BF"/>
                <w:sz w:val="24"/>
                <w:szCs w:val="24"/>
                <w:lang w:val="en-US"/>
              </w:rPr>
              <w:t>Governance and quality improvement strategies, policies and procedures are effective in developing and delivering sustainable, high-quality education.</w:t>
            </w:r>
          </w:p>
          <w:p w14:paraId="770112A4" w14:textId="77777777" w:rsidR="00FC2F0B" w:rsidRPr="00677889" w:rsidRDefault="00FC2F0B" w:rsidP="000B51F0">
            <w:pPr>
              <w:pStyle w:val="BodyText"/>
              <w:spacing w:before="240" w:line="300" w:lineRule="auto"/>
              <w:ind w:left="258" w:right="403"/>
              <w:rPr>
                <w:b/>
                <w:color w:val="375992" w:themeColor="accent5" w:themeShade="BF"/>
                <w:sz w:val="24"/>
                <w:szCs w:val="24"/>
                <w:lang w:val="en-US" w:eastAsia="en-US"/>
              </w:rPr>
            </w:pPr>
            <w:r w:rsidRPr="00677889">
              <w:rPr>
                <w:b/>
                <w:color w:val="375992" w:themeColor="accent5" w:themeShade="BF"/>
                <w:sz w:val="24"/>
                <w:szCs w:val="24"/>
              </w:rPr>
              <w:t>STANDARD 3 –</w:t>
            </w:r>
            <w:r w:rsidR="008C176B" w:rsidRPr="00677889">
              <w:rPr>
                <w:b/>
                <w:color w:val="375992" w:themeColor="accent5" w:themeShade="BF"/>
                <w:sz w:val="24"/>
                <w:szCs w:val="24"/>
              </w:rPr>
              <w:t xml:space="preserve"> </w:t>
            </w:r>
            <w:r w:rsidR="00A3076C" w:rsidRPr="00677889">
              <w:rPr>
                <w:b/>
                <w:color w:val="375992" w:themeColor="accent5" w:themeShade="BF"/>
                <w:sz w:val="24"/>
                <w:szCs w:val="24"/>
                <w:lang w:val="en-US" w:eastAsia="en-US"/>
              </w:rPr>
              <w:t>PROGRAM OF STUDY</w:t>
            </w:r>
          </w:p>
          <w:p w14:paraId="7F35043A" w14:textId="4F68E565" w:rsidR="00FC2F0B" w:rsidRPr="00677889" w:rsidRDefault="00FC2F0B" w:rsidP="000B51F0">
            <w:pPr>
              <w:pStyle w:val="BodyText"/>
              <w:spacing w:before="240" w:line="300" w:lineRule="auto"/>
              <w:ind w:left="258" w:right="403"/>
              <w:rPr>
                <w:color w:val="375992" w:themeColor="accent5" w:themeShade="BF"/>
                <w:sz w:val="24"/>
                <w:szCs w:val="24"/>
              </w:rPr>
            </w:pPr>
            <w:r w:rsidRPr="00677889">
              <w:rPr>
                <w:rFonts w:cstheme="minorBidi"/>
                <w:color w:val="375992" w:themeColor="accent5" w:themeShade="BF"/>
                <w:sz w:val="24"/>
                <w:szCs w:val="24"/>
                <w:lang w:val="en-US" w:eastAsia="en-US"/>
              </w:rPr>
              <w:t xml:space="preserve">The program </w:t>
            </w:r>
            <w:r w:rsidR="005138EE" w:rsidRPr="00677889">
              <w:rPr>
                <w:rFonts w:cstheme="minorBidi"/>
                <w:color w:val="375992" w:themeColor="accent5" w:themeShade="BF"/>
                <w:sz w:val="24"/>
                <w:szCs w:val="24"/>
                <w:lang w:val="en-US" w:eastAsia="en-US"/>
              </w:rPr>
              <w:t xml:space="preserve">of </w:t>
            </w:r>
            <w:r w:rsidR="00A3076C" w:rsidRPr="00677889">
              <w:rPr>
                <w:rFonts w:cstheme="minorBidi"/>
                <w:color w:val="375992" w:themeColor="accent5" w:themeShade="BF"/>
                <w:sz w:val="24"/>
                <w:szCs w:val="24"/>
                <w:lang w:val="en-US" w:eastAsia="en-US"/>
              </w:rPr>
              <w:t>study, including the curriculum and resourcing, is</w:t>
            </w:r>
            <w:r w:rsidRPr="00677889">
              <w:rPr>
                <w:rFonts w:cstheme="minorBidi"/>
                <w:color w:val="375992" w:themeColor="accent5" w:themeShade="BF"/>
                <w:sz w:val="24"/>
                <w:szCs w:val="24"/>
                <w:lang w:val="en-US" w:eastAsia="en-US"/>
              </w:rPr>
              <w:t xml:space="preserve"> based on contemporary educational </w:t>
            </w:r>
            <w:r w:rsidR="00124939" w:rsidRPr="00677889">
              <w:rPr>
                <w:rFonts w:cstheme="minorBidi"/>
                <w:color w:val="375992" w:themeColor="accent5" w:themeShade="BF"/>
                <w:sz w:val="24"/>
                <w:szCs w:val="24"/>
                <w:lang w:val="en-US" w:eastAsia="en-US"/>
              </w:rPr>
              <w:t xml:space="preserve">and professional </w:t>
            </w:r>
            <w:r w:rsidRPr="00677889">
              <w:rPr>
                <w:rFonts w:cstheme="minorBidi"/>
                <w:color w:val="375992" w:themeColor="accent5" w:themeShade="BF"/>
                <w:sz w:val="24"/>
                <w:szCs w:val="24"/>
                <w:lang w:val="en-US" w:eastAsia="en-US"/>
              </w:rPr>
              <w:t>theory</w:t>
            </w:r>
            <w:r w:rsidR="00124939" w:rsidRPr="00677889">
              <w:rPr>
                <w:rFonts w:cstheme="minorBidi"/>
                <w:color w:val="375992" w:themeColor="accent5" w:themeShade="BF"/>
                <w:sz w:val="24"/>
                <w:szCs w:val="24"/>
                <w:lang w:val="en-US" w:eastAsia="en-US"/>
              </w:rPr>
              <w:t>, evidence</w:t>
            </w:r>
            <w:r w:rsidRPr="00677889">
              <w:rPr>
                <w:rFonts w:cstheme="minorBidi"/>
                <w:color w:val="375992" w:themeColor="accent5" w:themeShade="BF"/>
                <w:sz w:val="24"/>
                <w:szCs w:val="24"/>
                <w:lang w:val="en-US" w:eastAsia="en-US"/>
              </w:rPr>
              <w:t xml:space="preserve"> and practice</w:t>
            </w:r>
            <w:r w:rsidR="004462F0" w:rsidRPr="00677889">
              <w:rPr>
                <w:rFonts w:cstheme="minorBidi"/>
                <w:color w:val="375992" w:themeColor="accent5" w:themeShade="BF"/>
                <w:sz w:val="24"/>
                <w:szCs w:val="24"/>
                <w:lang w:val="en-US" w:eastAsia="en-US"/>
              </w:rPr>
              <w:t xml:space="preserve"> and </w:t>
            </w:r>
            <w:r w:rsidR="00C35919">
              <w:rPr>
                <w:rFonts w:cstheme="minorBidi"/>
                <w:color w:val="375992" w:themeColor="accent5" w:themeShade="BF"/>
                <w:sz w:val="24"/>
                <w:szCs w:val="24"/>
                <w:lang w:val="en-US" w:eastAsia="en-US"/>
              </w:rPr>
              <w:t>ensures</w:t>
            </w:r>
            <w:r w:rsidR="004462F0" w:rsidRPr="00677889">
              <w:rPr>
                <w:rFonts w:cstheme="minorBidi"/>
                <w:color w:val="375992" w:themeColor="accent5" w:themeShade="BF"/>
                <w:sz w:val="24"/>
                <w:szCs w:val="24"/>
                <w:lang w:val="en-US" w:eastAsia="en-US"/>
              </w:rPr>
              <w:t xml:space="preserve"> students achieve the required competencies to practise in the chiropractic profession.</w:t>
            </w:r>
          </w:p>
          <w:p w14:paraId="2FF01F94" w14:textId="77777777" w:rsidR="00FC2F0B" w:rsidRPr="00677889" w:rsidRDefault="00FC2F0B" w:rsidP="000B51F0">
            <w:pPr>
              <w:pStyle w:val="BodyText"/>
              <w:spacing w:before="240" w:line="300" w:lineRule="auto"/>
              <w:ind w:left="258" w:right="403"/>
              <w:rPr>
                <w:b/>
                <w:color w:val="375992" w:themeColor="accent5" w:themeShade="BF"/>
                <w:sz w:val="24"/>
                <w:szCs w:val="24"/>
              </w:rPr>
            </w:pPr>
            <w:r w:rsidRPr="00677889">
              <w:rPr>
                <w:b/>
                <w:color w:val="375992" w:themeColor="accent5" w:themeShade="BF"/>
                <w:sz w:val="24"/>
                <w:szCs w:val="24"/>
              </w:rPr>
              <w:t>STANDARD 4 – THE STUDENT EXPERIENCE</w:t>
            </w:r>
          </w:p>
          <w:p w14:paraId="29F84A02" w14:textId="4844D634" w:rsidR="00FC2F0B" w:rsidRPr="00677889" w:rsidRDefault="00B104CC" w:rsidP="000B51F0">
            <w:pPr>
              <w:pStyle w:val="BodyText"/>
              <w:spacing w:before="240" w:line="300" w:lineRule="auto"/>
              <w:ind w:left="258" w:right="403"/>
              <w:rPr>
                <w:color w:val="375992" w:themeColor="accent5" w:themeShade="BF"/>
                <w:sz w:val="24"/>
                <w:szCs w:val="24"/>
              </w:rPr>
            </w:pPr>
            <w:r w:rsidRPr="00677889">
              <w:rPr>
                <w:color w:val="375992" w:themeColor="accent5" w:themeShade="BF"/>
                <w:sz w:val="24"/>
                <w:szCs w:val="24"/>
              </w:rPr>
              <w:t>Students are provided with equitable and timely access to information and support.</w:t>
            </w:r>
          </w:p>
          <w:p w14:paraId="353BEF04" w14:textId="77777777" w:rsidR="00FC2F0B" w:rsidRPr="00677889" w:rsidRDefault="00FC2F0B" w:rsidP="000B51F0">
            <w:pPr>
              <w:pStyle w:val="BodyText"/>
              <w:spacing w:before="240" w:line="300" w:lineRule="auto"/>
              <w:ind w:left="258" w:right="403"/>
              <w:rPr>
                <w:b/>
                <w:color w:val="375992" w:themeColor="accent5" w:themeShade="BF"/>
                <w:sz w:val="24"/>
                <w:szCs w:val="24"/>
              </w:rPr>
            </w:pPr>
            <w:r w:rsidRPr="00677889">
              <w:rPr>
                <w:b/>
                <w:color w:val="375992" w:themeColor="accent5" w:themeShade="BF"/>
                <w:sz w:val="24"/>
                <w:szCs w:val="24"/>
              </w:rPr>
              <w:t>STANDARD 5 – STUDENT ASSESSMENT</w:t>
            </w:r>
          </w:p>
          <w:p w14:paraId="574D4072" w14:textId="77777777" w:rsidR="00FC2F0B" w:rsidRPr="00677889" w:rsidRDefault="00FC2F0B" w:rsidP="000B51F0">
            <w:pPr>
              <w:pStyle w:val="BodyText"/>
              <w:spacing w:before="240" w:line="300" w:lineRule="auto"/>
              <w:ind w:left="258" w:right="403"/>
              <w:rPr>
                <w:color w:val="035174" w:themeColor="accent1" w:themeShade="BF"/>
                <w:sz w:val="22"/>
                <w:szCs w:val="22"/>
              </w:rPr>
            </w:pPr>
            <w:r w:rsidRPr="00677889">
              <w:rPr>
                <w:color w:val="375992" w:themeColor="accent5" w:themeShade="BF"/>
                <w:sz w:val="24"/>
                <w:szCs w:val="24"/>
              </w:rPr>
              <w:t>Student assessment is comprehensive, fair, valid and reliable.</w:t>
            </w:r>
          </w:p>
        </w:tc>
      </w:tr>
    </w:tbl>
    <w:p w14:paraId="3DE6D94A" w14:textId="77777777" w:rsidR="00FC2F0B" w:rsidRPr="00677889" w:rsidRDefault="00FC2F0B" w:rsidP="00FC2F0B"/>
    <w:p w14:paraId="5C2AC33F" w14:textId="77777777" w:rsidR="00FC2F0B" w:rsidRPr="00677889" w:rsidRDefault="00FC2F0B" w:rsidP="00753AB6">
      <w:pPr>
        <w:tabs>
          <w:tab w:val="left" w:pos="5488"/>
        </w:tabs>
      </w:pPr>
      <w:r w:rsidRPr="00677889">
        <w:br w:type="page"/>
      </w:r>
    </w:p>
    <w:p w14:paraId="6F914025" w14:textId="77777777" w:rsidR="0073739F" w:rsidRPr="00677889" w:rsidRDefault="0073739F" w:rsidP="00753AB6">
      <w:pPr>
        <w:tabs>
          <w:tab w:val="left" w:pos="5488"/>
        </w:tabs>
      </w:pPr>
    </w:p>
    <w:p w14:paraId="3256B9BD" w14:textId="77777777" w:rsidR="0073739F" w:rsidRPr="00677889" w:rsidRDefault="0073739F" w:rsidP="00753AB6">
      <w:pPr>
        <w:tabs>
          <w:tab w:val="left" w:pos="5488"/>
        </w:tabs>
      </w:pPr>
    </w:p>
    <w:p w14:paraId="44204986" w14:textId="77777777" w:rsidR="009D2A30" w:rsidRPr="00677889" w:rsidRDefault="009D2A30" w:rsidP="00753AB6">
      <w:pPr>
        <w:tabs>
          <w:tab w:val="left" w:pos="5488"/>
        </w:tabs>
      </w:pPr>
    </w:p>
    <w:p w14:paraId="25B1668F" w14:textId="77777777" w:rsidR="0073739F" w:rsidRPr="00677889" w:rsidRDefault="0073739F" w:rsidP="00753AB6">
      <w:pPr>
        <w:tabs>
          <w:tab w:val="left" w:pos="5488"/>
        </w:tabs>
      </w:pPr>
    </w:p>
    <w:tbl>
      <w:tblPr>
        <w:tblStyle w:val="TableGrid"/>
        <w:tblW w:w="9240" w:type="dxa"/>
        <w:tblBorders>
          <w:top w:val="thinThickThinSmallGap" w:sz="24" w:space="0" w:color="EE7700"/>
          <w:left w:val="thinThickThinSmallGap" w:sz="24" w:space="0" w:color="EE7700"/>
          <w:bottom w:val="thinThickThinSmallGap" w:sz="24" w:space="0" w:color="EE7700"/>
          <w:right w:val="thinThickThinSmallGap" w:sz="24" w:space="0" w:color="EE7700"/>
          <w:insideH w:val="thinThickThinSmallGap" w:sz="24" w:space="0" w:color="EE7700"/>
          <w:insideV w:val="thinThickThinSmallGap" w:sz="24" w:space="0" w:color="EE7700"/>
        </w:tblBorders>
        <w:shd w:val="clear" w:color="auto" w:fill="FFE6CD"/>
        <w:tblLook w:val="04A0" w:firstRow="1" w:lastRow="0" w:firstColumn="1" w:lastColumn="0" w:noHBand="0" w:noVBand="1"/>
      </w:tblPr>
      <w:tblGrid>
        <w:gridCol w:w="9240"/>
      </w:tblGrid>
      <w:tr w:rsidR="00FC2F0B" w:rsidRPr="00677889" w14:paraId="6CF1321E" w14:textId="77777777" w:rsidTr="00A3076C">
        <w:trPr>
          <w:trHeight w:val="1440"/>
        </w:trPr>
        <w:tc>
          <w:tcPr>
            <w:tcW w:w="9240" w:type="dxa"/>
            <w:shd w:val="clear" w:color="auto" w:fill="FFE6CD"/>
          </w:tcPr>
          <w:p w14:paraId="21B83D5D" w14:textId="77777777" w:rsidR="00FC2F0B" w:rsidRPr="00677889" w:rsidRDefault="00FC2F0B" w:rsidP="000A2B5E">
            <w:pPr>
              <w:pStyle w:val="Heading2"/>
              <w:spacing w:before="240" w:line="300" w:lineRule="auto"/>
              <w:ind w:left="255"/>
              <w:outlineLvl w:val="1"/>
              <w:rPr>
                <w:rFonts w:asciiTheme="minorHAnsi" w:hAnsiTheme="minorHAnsi"/>
                <w:color w:val="375992" w:themeColor="accent5" w:themeShade="BF"/>
                <w:sz w:val="22"/>
                <w:szCs w:val="22"/>
              </w:rPr>
            </w:pPr>
            <w:bookmarkStart w:id="36" w:name="_Toc446242265"/>
            <w:r w:rsidRPr="00677889">
              <w:rPr>
                <w:rFonts w:asciiTheme="minorHAnsi" w:hAnsiTheme="minorHAnsi"/>
                <w:color w:val="375992" w:themeColor="accent5" w:themeShade="BF"/>
                <w:sz w:val="22"/>
                <w:szCs w:val="22"/>
              </w:rPr>
              <w:t xml:space="preserve">STANDARD 1 </w:t>
            </w:r>
            <w:r w:rsidR="008C176B" w:rsidRPr="00677889">
              <w:rPr>
                <w:rFonts w:asciiTheme="minorHAnsi" w:hAnsiTheme="minorHAnsi"/>
                <w:color w:val="375992" w:themeColor="accent5" w:themeShade="BF"/>
                <w:sz w:val="22"/>
                <w:szCs w:val="22"/>
              </w:rPr>
              <w:t>–</w:t>
            </w:r>
            <w:r w:rsidRPr="00677889">
              <w:rPr>
                <w:rFonts w:asciiTheme="minorHAnsi" w:hAnsiTheme="minorHAnsi"/>
                <w:color w:val="375992" w:themeColor="accent5" w:themeShade="BF"/>
                <w:sz w:val="22"/>
                <w:szCs w:val="22"/>
              </w:rPr>
              <w:t xml:space="preserve"> </w:t>
            </w:r>
            <w:r w:rsidR="00E6361F" w:rsidRPr="00677889">
              <w:rPr>
                <w:rFonts w:asciiTheme="minorHAnsi" w:hAnsiTheme="minorHAnsi"/>
                <w:color w:val="375992" w:themeColor="accent5" w:themeShade="BF"/>
                <w:sz w:val="22"/>
                <w:szCs w:val="22"/>
              </w:rPr>
              <w:t>PUBLIC</w:t>
            </w:r>
            <w:r w:rsidR="008C176B" w:rsidRPr="00677889">
              <w:rPr>
                <w:rFonts w:asciiTheme="minorHAnsi" w:hAnsiTheme="minorHAnsi"/>
                <w:color w:val="375992" w:themeColor="accent5" w:themeShade="BF"/>
                <w:sz w:val="22"/>
                <w:szCs w:val="22"/>
              </w:rPr>
              <w:t xml:space="preserve"> </w:t>
            </w:r>
            <w:r w:rsidRPr="00677889">
              <w:rPr>
                <w:rFonts w:asciiTheme="minorHAnsi" w:hAnsiTheme="minorHAnsi"/>
                <w:color w:val="375992" w:themeColor="accent5" w:themeShade="BF"/>
                <w:sz w:val="22"/>
                <w:szCs w:val="22"/>
              </w:rPr>
              <w:t>SAFETY</w:t>
            </w:r>
            <w:bookmarkEnd w:id="36"/>
          </w:p>
          <w:p w14:paraId="3416E237" w14:textId="44144BB8" w:rsidR="00FC2F0B" w:rsidRPr="00677889" w:rsidRDefault="00E6361F" w:rsidP="00DD07AA">
            <w:pPr>
              <w:spacing w:before="240" w:line="300" w:lineRule="auto"/>
              <w:ind w:left="255"/>
              <w:rPr>
                <w:rFonts w:asciiTheme="minorHAnsi" w:hAnsiTheme="minorHAnsi"/>
                <w:sz w:val="22"/>
                <w:szCs w:val="22"/>
              </w:rPr>
            </w:pPr>
            <w:r w:rsidRPr="00677889">
              <w:rPr>
                <w:rFonts w:asciiTheme="minorHAnsi" w:hAnsiTheme="minorHAnsi"/>
                <w:color w:val="375992" w:themeColor="accent5" w:themeShade="BF"/>
                <w:sz w:val="22"/>
                <w:szCs w:val="22"/>
              </w:rPr>
              <w:t>Public</w:t>
            </w:r>
            <w:r w:rsidR="00FC2F0B" w:rsidRPr="00677889">
              <w:rPr>
                <w:rFonts w:asciiTheme="minorHAnsi" w:hAnsiTheme="minorHAnsi"/>
                <w:color w:val="375992" w:themeColor="accent5" w:themeShade="BF"/>
                <w:sz w:val="22"/>
                <w:szCs w:val="22"/>
              </w:rPr>
              <w:t xml:space="preserve"> safety is </w:t>
            </w:r>
            <w:r w:rsidR="00C35919">
              <w:rPr>
                <w:rFonts w:asciiTheme="minorHAnsi" w:hAnsiTheme="minorHAnsi"/>
                <w:color w:val="375992" w:themeColor="accent5" w:themeShade="BF"/>
                <w:sz w:val="22"/>
                <w:szCs w:val="22"/>
              </w:rPr>
              <w:t>assured</w:t>
            </w:r>
            <w:r w:rsidR="00FC2F0B" w:rsidRPr="00677889">
              <w:rPr>
                <w:rFonts w:asciiTheme="minorHAnsi" w:hAnsiTheme="minorHAnsi"/>
                <w:color w:val="375992" w:themeColor="accent5" w:themeShade="BF"/>
                <w:sz w:val="22"/>
                <w:szCs w:val="22"/>
              </w:rPr>
              <w:t>.</w:t>
            </w:r>
          </w:p>
        </w:tc>
      </w:tr>
    </w:tbl>
    <w:p w14:paraId="7C1C9671" w14:textId="77777777" w:rsidR="00BC46F2" w:rsidRPr="00677889" w:rsidRDefault="00BC46F2" w:rsidP="00BC46F2">
      <w:pPr>
        <w:pStyle w:val="BodyText"/>
      </w:pPr>
      <w:bookmarkStart w:id="37" w:name="_Toc435716079"/>
      <w:bookmarkStart w:id="38" w:name="_Toc435728895"/>
    </w:p>
    <w:p w14:paraId="6FC45C77" w14:textId="77777777" w:rsidR="00FC2F0B" w:rsidRPr="00677889" w:rsidRDefault="00FC2F0B" w:rsidP="002A11E0">
      <w:pPr>
        <w:pStyle w:val="Heading3"/>
        <w:keepLines/>
        <w:widowControl/>
        <w:numPr>
          <w:ilvl w:val="0"/>
          <w:numId w:val="10"/>
        </w:numPr>
        <w:spacing w:before="240" w:after="0" w:line="300" w:lineRule="auto"/>
      </w:pPr>
      <w:bookmarkStart w:id="39" w:name="_Toc437248407"/>
      <w:bookmarkStart w:id="40" w:name="_Toc444178118"/>
      <w:bookmarkStart w:id="41" w:name="_Toc446242266"/>
      <w:r w:rsidRPr="00677889">
        <w:t>Criteria</w:t>
      </w:r>
      <w:bookmarkEnd w:id="37"/>
      <w:bookmarkEnd w:id="38"/>
      <w:bookmarkEnd w:id="39"/>
      <w:bookmarkEnd w:id="40"/>
      <w:bookmarkEnd w:id="41"/>
    </w:p>
    <w:p w14:paraId="5B1C4554" w14:textId="2F5E4F3B" w:rsidR="00FC2F0B" w:rsidRPr="00677889" w:rsidRDefault="00FC2F0B" w:rsidP="002A11E0">
      <w:pPr>
        <w:pStyle w:val="ListParagraph"/>
        <w:numPr>
          <w:ilvl w:val="1"/>
          <w:numId w:val="10"/>
        </w:numPr>
        <w:spacing w:before="240" w:after="120"/>
        <w:ind w:left="567" w:hanging="567"/>
        <w:rPr>
          <w:rFonts w:asciiTheme="minorHAnsi" w:hAnsiTheme="minorHAnsi"/>
          <w:szCs w:val="21"/>
        </w:rPr>
      </w:pPr>
      <w:r w:rsidRPr="00677889">
        <w:rPr>
          <w:rFonts w:asciiTheme="minorHAnsi" w:hAnsiTheme="minorHAnsi"/>
          <w:szCs w:val="21"/>
        </w:rPr>
        <w:t xml:space="preserve">Protection of the </w:t>
      </w:r>
      <w:r w:rsidR="00E6361F" w:rsidRPr="00677889">
        <w:rPr>
          <w:rFonts w:asciiTheme="minorHAnsi" w:hAnsiTheme="minorHAnsi"/>
          <w:szCs w:val="21"/>
        </w:rPr>
        <w:t>public</w:t>
      </w:r>
      <w:r w:rsidRPr="00677889">
        <w:rPr>
          <w:rFonts w:asciiTheme="minorHAnsi" w:hAnsiTheme="minorHAnsi"/>
          <w:szCs w:val="21"/>
        </w:rPr>
        <w:t xml:space="preserve"> and the care of patients are prominent in the guiding principles of the educational program, clinical training and student learning outcomes.</w:t>
      </w:r>
    </w:p>
    <w:p w14:paraId="669C8A58" w14:textId="77777777" w:rsidR="00FC2F0B" w:rsidRPr="00677889" w:rsidRDefault="00FC2F0B" w:rsidP="002A11E0">
      <w:pPr>
        <w:pStyle w:val="ListParagraph"/>
        <w:numPr>
          <w:ilvl w:val="1"/>
          <w:numId w:val="10"/>
        </w:numPr>
        <w:ind w:left="567" w:hanging="567"/>
        <w:rPr>
          <w:rFonts w:asciiTheme="minorHAnsi" w:hAnsiTheme="minorHAnsi"/>
          <w:szCs w:val="21"/>
        </w:rPr>
      </w:pPr>
      <w:r w:rsidRPr="00677889">
        <w:rPr>
          <w:rFonts w:asciiTheme="minorHAnsi" w:hAnsiTheme="minorHAnsi"/>
          <w:szCs w:val="21"/>
        </w:rPr>
        <w:t>Patients give informed consent to care provided by students.</w:t>
      </w:r>
    </w:p>
    <w:p w14:paraId="1E744237" w14:textId="50124D92" w:rsidR="00FC2F0B" w:rsidRPr="00677889" w:rsidRDefault="00FC2F0B" w:rsidP="002A11E0">
      <w:pPr>
        <w:pStyle w:val="ListParagraph"/>
        <w:numPr>
          <w:ilvl w:val="1"/>
          <w:numId w:val="10"/>
        </w:numPr>
        <w:ind w:left="567" w:hanging="567"/>
        <w:rPr>
          <w:rFonts w:asciiTheme="minorHAnsi" w:hAnsiTheme="minorHAnsi"/>
          <w:szCs w:val="21"/>
        </w:rPr>
      </w:pPr>
      <w:r w:rsidRPr="00677889">
        <w:rPr>
          <w:rFonts w:asciiTheme="minorHAnsi" w:hAnsiTheme="minorHAnsi"/>
          <w:szCs w:val="21"/>
        </w:rPr>
        <w:t>Students achieve the relevant competencies before providing patient care as part of the program.</w:t>
      </w:r>
    </w:p>
    <w:p w14:paraId="6D1CEF33" w14:textId="77777777" w:rsidR="00FC2F0B" w:rsidRPr="00677889" w:rsidRDefault="00FC2F0B" w:rsidP="002A11E0">
      <w:pPr>
        <w:pStyle w:val="ListParagraph"/>
        <w:numPr>
          <w:ilvl w:val="1"/>
          <w:numId w:val="10"/>
        </w:numPr>
        <w:ind w:left="567" w:hanging="567"/>
        <w:rPr>
          <w:rFonts w:asciiTheme="minorHAnsi" w:hAnsiTheme="minorHAnsi"/>
          <w:szCs w:val="21"/>
        </w:rPr>
      </w:pPr>
      <w:r w:rsidRPr="00677889">
        <w:rPr>
          <w:rFonts w:asciiTheme="minorHAnsi" w:hAnsiTheme="minorHAnsi"/>
          <w:szCs w:val="21"/>
        </w:rPr>
        <w:t>Students and staff are held to high levels of ethical and professional conduct.</w:t>
      </w:r>
    </w:p>
    <w:p w14:paraId="0A1172B7" w14:textId="77777777" w:rsidR="00FC2F0B" w:rsidRPr="00677889" w:rsidRDefault="00FC2F0B" w:rsidP="002A11E0">
      <w:pPr>
        <w:pStyle w:val="ListParagraph"/>
        <w:numPr>
          <w:ilvl w:val="1"/>
          <w:numId w:val="10"/>
        </w:numPr>
        <w:ind w:left="567" w:hanging="567"/>
        <w:rPr>
          <w:rFonts w:asciiTheme="minorHAnsi" w:hAnsiTheme="minorHAnsi"/>
          <w:szCs w:val="21"/>
        </w:rPr>
      </w:pPr>
      <w:r w:rsidRPr="00677889">
        <w:rPr>
          <w:rFonts w:asciiTheme="minorHAnsi" w:hAnsiTheme="minorHAnsi"/>
          <w:szCs w:val="21"/>
        </w:rPr>
        <w:t xml:space="preserve">Student clinics, chiropractic practices and other health services providing </w:t>
      </w:r>
      <w:r w:rsidR="00D02E61" w:rsidRPr="00677889">
        <w:rPr>
          <w:rFonts w:asciiTheme="minorHAnsi" w:hAnsiTheme="minorHAnsi"/>
          <w:szCs w:val="21"/>
        </w:rPr>
        <w:t xml:space="preserve">students with </w:t>
      </w:r>
      <w:r w:rsidRPr="00677889">
        <w:rPr>
          <w:rFonts w:asciiTheme="minorHAnsi" w:hAnsiTheme="minorHAnsi"/>
          <w:szCs w:val="21"/>
        </w:rPr>
        <w:t>clinical experience have robust quality and safety policies and processes and meet relevant jurisdictional requirements and standards.</w:t>
      </w:r>
    </w:p>
    <w:p w14:paraId="5A6A7B45" w14:textId="77777777" w:rsidR="00FC2F0B" w:rsidRPr="00677889" w:rsidRDefault="00FC2F0B" w:rsidP="002A11E0">
      <w:pPr>
        <w:pStyle w:val="ListParagraph"/>
        <w:numPr>
          <w:ilvl w:val="1"/>
          <w:numId w:val="10"/>
        </w:numPr>
        <w:ind w:left="567" w:hanging="567"/>
        <w:rPr>
          <w:rFonts w:asciiTheme="minorHAnsi" w:hAnsiTheme="minorHAnsi"/>
          <w:szCs w:val="21"/>
        </w:rPr>
      </w:pPr>
      <w:r w:rsidRPr="00677889">
        <w:rPr>
          <w:rFonts w:asciiTheme="minorHAnsi" w:hAnsiTheme="minorHAnsi"/>
          <w:szCs w:val="21"/>
        </w:rPr>
        <w:t>Students are supervised by registered, suitably qualified and experienced chiropractors and/or health practitioners during clinical experience placements.</w:t>
      </w:r>
    </w:p>
    <w:p w14:paraId="4207E706" w14:textId="552E47A0" w:rsidR="00FC2F0B" w:rsidRPr="00677889" w:rsidRDefault="00FC2F0B" w:rsidP="002A11E0">
      <w:pPr>
        <w:pStyle w:val="ListParagraph"/>
        <w:numPr>
          <w:ilvl w:val="1"/>
          <w:numId w:val="10"/>
        </w:numPr>
        <w:ind w:left="567" w:hanging="567"/>
        <w:rPr>
          <w:rFonts w:asciiTheme="minorHAnsi" w:hAnsiTheme="minorHAnsi"/>
          <w:szCs w:val="21"/>
        </w:rPr>
      </w:pPr>
      <w:r w:rsidRPr="00677889">
        <w:rPr>
          <w:rFonts w:asciiTheme="minorHAnsi" w:hAnsiTheme="minorHAnsi"/>
          <w:szCs w:val="21"/>
        </w:rPr>
        <w:t xml:space="preserve">Students </w:t>
      </w:r>
      <w:r w:rsidR="009D45D9" w:rsidRPr="00677889">
        <w:rPr>
          <w:rFonts w:asciiTheme="minorHAnsi" w:hAnsiTheme="minorHAnsi"/>
          <w:szCs w:val="21"/>
        </w:rPr>
        <w:t xml:space="preserve">are </w:t>
      </w:r>
      <w:r w:rsidRPr="00677889">
        <w:rPr>
          <w:rFonts w:asciiTheme="minorHAnsi" w:hAnsiTheme="minorHAnsi"/>
          <w:szCs w:val="21"/>
        </w:rPr>
        <w:t>registered with the relevant regulatory authorit</w:t>
      </w:r>
      <w:r w:rsidR="00693D9F" w:rsidRPr="00677889">
        <w:rPr>
          <w:rFonts w:asciiTheme="minorHAnsi" w:hAnsiTheme="minorHAnsi"/>
          <w:szCs w:val="21"/>
        </w:rPr>
        <w:t>ies</w:t>
      </w:r>
      <w:r w:rsidRPr="00677889">
        <w:rPr>
          <w:rFonts w:asciiTheme="minorHAnsi" w:hAnsiTheme="minorHAnsi"/>
          <w:szCs w:val="21"/>
        </w:rPr>
        <w:t xml:space="preserve"> where required.</w:t>
      </w:r>
    </w:p>
    <w:p w14:paraId="4436ACAB" w14:textId="77777777" w:rsidR="00FC2F0B" w:rsidRPr="00677889" w:rsidRDefault="00FC2F0B" w:rsidP="002A11E0">
      <w:pPr>
        <w:pStyle w:val="ListParagraph"/>
        <w:numPr>
          <w:ilvl w:val="1"/>
          <w:numId w:val="10"/>
        </w:numPr>
        <w:ind w:left="567" w:hanging="567"/>
        <w:rPr>
          <w:rFonts w:asciiTheme="minorHAnsi" w:hAnsiTheme="minorHAnsi"/>
          <w:szCs w:val="21"/>
        </w:rPr>
      </w:pPr>
      <w:r w:rsidRPr="00677889">
        <w:rPr>
          <w:rFonts w:asciiTheme="minorHAnsi" w:hAnsiTheme="minorHAnsi"/>
          <w:szCs w:val="21"/>
        </w:rPr>
        <w:t>Student impairment screening and management processes are effective.</w:t>
      </w:r>
    </w:p>
    <w:p w14:paraId="008AEDA6" w14:textId="77777777" w:rsidR="00FC2F0B" w:rsidRPr="00677889" w:rsidRDefault="00FC2F0B" w:rsidP="00FC2F0B">
      <w:r w:rsidRPr="00677889">
        <w:br w:type="page"/>
      </w:r>
    </w:p>
    <w:p w14:paraId="6CCB9E64" w14:textId="77777777" w:rsidR="0073739F" w:rsidRPr="00677889" w:rsidRDefault="0073739F" w:rsidP="00FC2F0B"/>
    <w:p w14:paraId="5A885F29" w14:textId="77777777" w:rsidR="009D2A30" w:rsidRPr="00677889" w:rsidRDefault="009D2A30" w:rsidP="00FC2F0B"/>
    <w:p w14:paraId="3CB77E70" w14:textId="77777777" w:rsidR="0073739F" w:rsidRPr="00677889" w:rsidRDefault="0073739F" w:rsidP="00FC2F0B"/>
    <w:p w14:paraId="667A60A8" w14:textId="77777777" w:rsidR="0073739F" w:rsidRPr="00677889" w:rsidRDefault="0073739F" w:rsidP="00FC2F0B"/>
    <w:tbl>
      <w:tblPr>
        <w:tblStyle w:val="TableGrid"/>
        <w:tblW w:w="9240" w:type="dxa"/>
        <w:tblLook w:val="04A0" w:firstRow="1" w:lastRow="0" w:firstColumn="1" w:lastColumn="0" w:noHBand="0" w:noVBand="1"/>
      </w:tblPr>
      <w:tblGrid>
        <w:gridCol w:w="9240"/>
      </w:tblGrid>
      <w:tr w:rsidR="00FC2F0B" w:rsidRPr="00677889" w14:paraId="1932D8F3" w14:textId="77777777" w:rsidTr="00CA21AE">
        <w:tc>
          <w:tcPr>
            <w:tcW w:w="9240" w:type="dxa"/>
            <w:tcBorders>
              <w:top w:val="thinThickThinSmallGap" w:sz="24" w:space="0" w:color="EE7700"/>
              <w:left w:val="thinThickThinSmallGap" w:sz="24" w:space="0" w:color="EE7700"/>
              <w:bottom w:val="thinThickThinSmallGap" w:sz="24" w:space="0" w:color="EE7700"/>
              <w:right w:val="thinThickThinSmallGap" w:sz="24" w:space="0" w:color="EE7700"/>
            </w:tcBorders>
            <w:shd w:val="clear" w:color="auto" w:fill="FFE6CD"/>
          </w:tcPr>
          <w:p w14:paraId="7FDB024A" w14:textId="77777777" w:rsidR="00FC2F0B" w:rsidRPr="00677889" w:rsidRDefault="00FC2F0B" w:rsidP="00A3076C">
            <w:pPr>
              <w:pStyle w:val="Heading2"/>
              <w:spacing w:before="240" w:line="300" w:lineRule="auto"/>
              <w:ind w:left="255"/>
              <w:outlineLvl w:val="1"/>
              <w:rPr>
                <w:rFonts w:asciiTheme="minorHAnsi" w:hAnsiTheme="minorHAnsi"/>
                <w:color w:val="1D7998" w:themeColor="accent2" w:themeShade="BF"/>
                <w:sz w:val="22"/>
                <w:szCs w:val="22"/>
              </w:rPr>
            </w:pPr>
            <w:bookmarkStart w:id="42" w:name="_Toc446242267"/>
            <w:r w:rsidRPr="00677889">
              <w:rPr>
                <w:rFonts w:asciiTheme="minorHAnsi" w:hAnsiTheme="minorHAnsi"/>
                <w:color w:val="1D7998" w:themeColor="accent2" w:themeShade="BF"/>
                <w:sz w:val="22"/>
                <w:szCs w:val="22"/>
              </w:rPr>
              <w:t>STANDARD 2 – GOVERNANCE AND QUALITY IMPROVEMENT</w:t>
            </w:r>
            <w:bookmarkEnd w:id="42"/>
          </w:p>
          <w:p w14:paraId="0FF3DB5B" w14:textId="77777777" w:rsidR="00FC2F0B" w:rsidRPr="00677889" w:rsidRDefault="00FC2F0B" w:rsidP="00763C0E">
            <w:pPr>
              <w:pStyle w:val="BodyText"/>
              <w:ind w:left="258"/>
              <w:rPr>
                <w:b/>
                <w:sz w:val="22"/>
                <w:szCs w:val="22"/>
              </w:rPr>
            </w:pPr>
            <w:r w:rsidRPr="00677889">
              <w:rPr>
                <w:color w:val="1D7998" w:themeColor="accent2" w:themeShade="BF"/>
                <w:sz w:val="22"/>
                <w:szCs w:val="22"/>
              </w:rPr>
              <w:t>Governance and quality improvement strategies, policies and procedures are effective in developing and delivering sustainable, high-quality education.</w:t>
            </w:r>
          </w:p>
        </w:tc>
      </w:tr>
    </w:tbl>
    <w:p w14:paraId="4EB9A02B" w14:textId="77777777" w:rsidR="00BC46F2" w:rsidRPr="00677889" w:rsidRDefault="00BC46F2" w:rsidP="00BC46F2">
      <w:pPr>
        <w:pStyle w:val="BodyText"/>
      </w:pPr>
      <w:bookmarkStart w:id="43" w:name="_Toc435716081"/>
      <w:bookmarkStart w:id="44" w:name="_Toc435728897"/>
    </w:p>
    <w:p w14:paraId="42426CCF" w14:textId="77777777" w:rsidR="00FC2F0B" w:rsidRPr="00677889" w:rsidRDefault="00FC2F0B" w:rsidP="002A11E0">
      <w:pPr>
        <w:pStyle w:val="Heading3"/>
        <w:keepLines/>
        <w:widowControl/>
        <w:numPr>
          <w:ilvl w:val="0"/>
          <w:numId w:val="10"/>
        </w:numPr>
        <w:spacing w:before="240" w:after="0" w:line="300" w:lineRule="auto"/>
      </w:pPr>
      <w:bookmarkStart w:id="45" w:name="_Toc437248409"/>
      <w:bookmarkStart w:id="46" w:name="_Toc444178120"/>
      <w:bookmarkStart w:id="47" w:name="_Toc446242268"/>
      <w:r w:rsidRPr="00677889">
        <w:t>Criteria</w:t>
      </w:r>
      <w:bookmarkEnd w:id="43"/>
      <w:bookmarkEnd w:id="44"/>
      <w:bookmarkEnd w:id="45"/>
      <w:bookmarkEnd w:id="46"/>
      <w:bookmarkEnd w:id="47"/>
    </w:p>
    <w:p w14:paraId="09551D37" w14:textId="001359D5" w:rsidR="00FC2F0B" w:rsidRPr="00677889" w:rsidRDefault="00FC2F0B" w:rsidP="002A11E0">
      <w:pPr>
        <w:pStyle w:val="ListParagraph"/>
        <w:numPr>
          <w:ilvl w:val="1"/>
          <w:numId w:val="10"/>
        </w:numPr>
        <w:spacing w:before="240" w:after="120"/>
        <w:ind w:left="567" w:hanging="567"/>
        <w:rPr>
          <w:rFonts w:asciiTheme="minorHAnsi" w:hAnsiTheme="minorHAnsi"/>
          <w:szCs w:val="21"/>
        </w:rPr>
      </w:pPr>
      <w:r w:rsidRPr="00677889">
        <w:rPr>
          <w:rFonts w:asciiTheme="minorHAnsi" w:hAnsiTheme="minorHAnsi"/>
          <w:szCs w:val="21"/>
        </w:rPr>
        <w:t>The provider has robust governance arrangements in place for the program of study; meeting all relevant jurisdictional regulatory requirements; or having equivalent mechanisms to assure the quality and integrity of the program</w:t>
      </w:r>
      <w:r w:rsidR="0018649B" w:rsidRPr="00677889">
        <w:rPr>
          <w:rFonts w:asciiTheme="minorHAnsi" w:hAnsiTheme="minorHAnsi"/>
          <w:szCs w:val="21"/>
        </w:rPr>
        <w:t xml:space="preserve"> of </w:t>
      </w:r>
      <w:r w:rsidRPr="00677889">
        <w:rPr>
          <w:rFonts w:asciiTheme="minorHAnsi" w:hAnsiTheme="minorHAnsi"/>
          <w:szCs w:val="21"/>
        </w:rPr>
        <w:t>s</w:t>
      </w:r>
      <w:r w:rsidR="0018649B" w:rsidRPr="00677889">
        <w:rPr>
          <w:rFonts w:asciiTheme="minorHAnsi" w:hAnsiTheme="minorHAnsi"/>
          <w:szCs w:val="21"/>
        </w:rPr>
        <w:t>tudy</w:t>
      </w:r>
      <w:r w:rsidRPr="00677889">
        <w:rPr>
          <w:rFonts w:asciiTheme="minorHAnsi" w:hAnsiTheme="minorHAnsi"/>
          <w:szCs w:val="21"/>
        </w:rPr>
        <w:t>.</w:t>
      </w:r>
    </w:p>
    <w:p w14:paraId="214E7C8E" w14:textId="0169F8CE" w:rsidR="00FC2F0B" w:rsidRPr="00677889" w:rsidRDefault="00FC2F0B" w:rsidP="002A11E0">
      <w:pPr>
        <w:pStyle w:val="ListParagraph"/>
        <w:numPr>
          <w:ilvl w:val="1"/>
          <w:numId w:val="10"/>
        </w:numPr>
        <w:spacing w:before="240" w:after="120"/>
        <w:ind w:left="567" w:hanging="567"/>
        <w:rPr>
          <w:rFonts w:asciiTheme="minorHAnsi" w:hAnsiTheme="minorHAnsi"/>
          <w:szCs w:val="21"/>
        </w:rPr>
      </w:pPr>
      <w:r w:rsidRPr="00677889">
        <w:rPr>
          <w:rFonts w:asciiTheme="minorHAnsi" w:hAnsiTheme="minorHAnsi"/>
          <w:szCs w:val="21"/>
        </w:rPr>
        <w:t>The governance structure for the provider and the school conducting the program ensures academic oversight of the program and promotes high-quality teaching and learning, scholarship, research and ongoing evaluation.</w:t>
      </w:r>
    </w:p>
    <w:p w14:paraId="5B0D288E" w14:textId="59BE997E" w:rsidR="00FC2F0B" w:rsidRPr="00677889" w:rsidRDefault="00FC2F0B" w:rsidP="002A11E0">
      <w:pPr>
        <w:pStyle w:val="ListParagraph"/>
        <w:numPr>
          <w:ilvl w:val="1"/>
          <w:numId w:val="10"/>
        </w:numPr>
        <w:spacing w:before="240" w:after="120"/>
        <w:ind w:left="567" w:hanging="567"/>
        <w:rPr>
          <w:rFonts w:asciiTheme="minorHAnsi" w:hAnsiTheme="minorHAnsi"/>
          <w:szCs w:val="21"/>
        </w:rPr>
      </w:pPr>
      <w:r w:rsidRPr="00677889">
        <w:rPr>
          <w:rFonts w:asciiTheme="minorHAnsi" w:hAnsiTheme="minorHAnsi"/>
          <w:szCs w:val="21"/>
        </w:rPr>
        <w:t>The provider assesses and addresses risks to the program, program outcomes and students; and has a primary focus on continually improving the quality of the teaching and learning experience for students and the competence of new graduates.</w:t>
      </w:r>
    </w:p>
    <w:p w14:paraId="22D9A8AE" w14:textId="7F5CAF3F" w:rsidR="00FC2F0B" w:rsidRPr="00677889" w:rsidRDefault="00FC2F0B" w:rsidP="002A11E0">
      <w:pPr>
        <w:pStyle w:val="ListParagraph"/>
        <w:numPr>
          <w:ilvl w:val="1"/>
          <w:numId w:val="10"/>
        </w:numPr>
        <w:spacing w:before="240" w:after="120"/>
        <w:ind w:left="567" w:hanging="567"/>
        <w:rPr>
          <w:rFonts w:asciiTheme="minorHAnsi" w:hAnsiTheme="minorHAnsi"/>
          <w:szCs w:val="21"/>
        </w:rPr>
      </w:pPr>
      <w:r w:rsidRPr="00677889">
        <w:rPr>
          <w:rFonts w:asciiTheme="minorHAnsi" w:hAnsiTheme="minorHAnsi"/>
          <w:szCs w:val="21"/>
        </w:rPr>
        <w:t xml:space="preserve">Quality improvement processes use </w:t>
      </w:r>
      <w:r w:rsidR="00763C0E" w:rsidRPr="00677889">
        <w:rPr>
          <w:rFonts w:asciiTheme="minorHAnsi" w:hAnsiTheme="minorHAnsi"/>
          <w:szCs w:val="21"/>
        </w:rPr>
        <w:t xml:space="preserve">valid and reliable </w:t>
      </w:r>
      <w:r w:rsidRPr="00677889">
        <w:rPr>
          <w:rFonts w:asciiTheme="minorHAnsi" w:hAnsiTheme="minorHAnsi"/>
          <w:szCs w:val="21"/>
        </w:rPr>
        <w:t xml:space="preserve">student and other evaluations, internal and external academic and professional peer review to improve the program. </w:t>
      </w:r>
    </w:p>
    <w:p w14:paraId="1328CD91" w14:textId="42693562" w:rsidR="00BC46F2" w:rsidRPr="00677889" w:rsidRDefault="00BC46F2" w:rsidP="00BC46F2">
      <w:pPr>
        <w:pStyle w:val="ListParagraph"/>
        <w:numPr>
          <w:ilvl w:val="1"/>
          <w:numId w:val="10"/>
        </w:numPr>
        <w:spacing w:before="240" w:after="120"/>
        <w:ind w:left="567" w:hanging="567"/>
        <w:rPr>
          <w:rFonts w:asciiTheme="minorHAnsi" w:hAnsiTheme="minorHAnsi"/>
          <w:szCs w:val="21"/>
        </w:rPr>
      </w:pPr>
      <w:r w:rsidRPr="00677889">
        <w:rPr>
          <w:rFonts w:asciiTheme="minorHAnsi" w:hAnsiTheme="minorHAnsi"/>
          <w:szCs w:val="21"/>
        </w:rPr>
        <w:t>There is relevant external input to the design and management of the program, including from representatives of the chiropractic profession.</w:t>
      </w:r>
    </w:p>
    <w:p w14:paraId="1F62E98D" w14:textId="420FBFA7" w:rsidR="00FC2F0B" w:rsidRPr="00677889" w:rsidRDefault="00FC2F0B" w:rsidP="002A11E0">
      <w:pPr>
        <w:pStyle w:val="ListParagraph"/>
        <w:numPr>
          <w:ilvl w:val="1"/>
          <w:numId w:val="10"/>
        </w:numPr>
        <w:spacing w:before="240" w:after="120"/>
        <w:ind w:left="567" w:hanging="567"/>
        <w:rPr>
          <w:rFonts w:asciiTheme="minorHAnsi" w:hAnsiTheme="minorHAnsi"/>
          <w:szCs w:val="21"/>
        </w:rPr>
      </w:pPr>
      <w:r w:rsidRPr="00677889">
        <w:rPr>
          <w:rFonts w:asciiTheme="minorHAnsi" w:hAnsiTheme="minorHAnsi"/>
          <w:szCs w:val="21"/>
        </w:rPr>
        <w:t xml:space="preserve">Mechanisms exist for responding </w:t>
      </w:r>
      <w:r w:rsidR="00402EDE" w:rsidRPr="00677889">
        <w:rPr>
          <w:rFonts w:asciiTheme="minorHAnsi" w:hAnsiTheme="minorHAnsi"/>
          <w:szCs w:val="21"/>
        </w:rPr>
        <w:t xml:space="preserve">within the curriculum </w:t>
      </w:r>
      <w:r w:rsidRPr="00677889">
        <w:rPr>
          <w:rFonts w:asciiTheme="minorHAnsi" w:hAnsiTheme="minorHAnsi"/>
          <w:szCs w:val="21"/>
        </w:rPr>
        <w:t>to contemporary developments in health professional education</w:t>
      </w:r>
      <w:r w:rsidR="003264C4" w:rsidRPr="00677889">
        <w:rPr>
          <w:rFonts w:asciiTheme="minorHAnsi" w:hAnsiTheme="minorHAnsi"/>
          <w:szCs w:val="21"/>
        </w:rPr>
        <w:t xml:space="preserve"> </w:t>
      </w:r>
      <w:r w:rsidR="007F7E39" w:rsidRPr="00677889">
        <w:rPr>
          <w:rFonts w:asciiTheme="minorHAnsi" w:hAnsiTheme="minorHAnsi"/>
          <w:szCs w:val="21"/>
        </w:rPr>
        <w:t>in a timely and effective manner</w:t>
      </w:r>
      <w:r w:rsidRPr="00677889">
        <w:rPr>
          <w:rFonts w:asciiTheme="minorHAnsi" w:hAnsiTheme="minorHAnsi"/>
          <w:szCs w:val="21"/>
        </w:rPr>
        <w:t>.</w:t>
      </w:r>
    </w:p>
    <w:p w14:paraId="30A690B4" w14:textId="77777777" w:rsidR="00FC2F0B" w:rsidRPr="00677889" w:rsidRDefault="00FC2F0B" w:rsidP="00FC2F0B">
      <w:r w:rsidRPr="00677889">
        <w:br w:type="page"/>
      </w:r>
    </w:p>
    <w:p w14:paraId="010A1200" w14:textId="77777777" w:rsidR="0073739F" w:rsidRPr="00677889" w:rsidRDefault="0073739F" w:rsidP="00FC2F0B"/>
    <w:tbl>
      <w:tblPr>
        <w:tblStyle w:val="TableGrid"/>
        <w:tblW w:w="9240" w:type="dxa"/>
        <w:tblBorders>
          <w:top w:val="thinThickThinSmallGap" w:sz="24" w:space="0" w:color="EE7700"/>
          <w:left w:val="thinThickThinSmallGap" w:sz="24" w:space="0" w:color="EE7700"/>
          <w:bottom w:val="thinThickThinSmallGap" w:sz="24" w:space="0" w:color="EE7700"/>
          <w:right w:val="thinThickThinSmallGap" w:sz="24" w:space="0" w:color="EE7700"/>
          <w:insideH w:val="thinThickThinSmallGap" w:sz="24" w:space="0" w:color="EE7700"/>
          <w:insideV w:val="thinThickThinSmallGap" w:sz="24" w:space="0" w:color="EE7700"/>
        </w:tblBorders>
        <w:shd w:val="clear" w:color="auto" w:fill="FFE6CD"/>
        <w:tblLook w:val="04A0" w:firstRow="1" w:lastRow="0" w:firstColumn="1" w:lastColumn="0" w:noHBand="0" w:noVBand="1"/>
      </w:tblPr>
      <w:tblGrid>
        <w:gridCol w:w="9240"/>
      </w:tblGrid>
      <w:tr w:rsidR="00CA21AE" w:rsidRPr="00677889" w14:paraId="1DF700BC" w14:textId="77777777" w:rsidTr="00CA21AE">
        <w:tc>
          <w:tcPr>
            <w:tcW w:w="9240" w:type="dxa"/>
            <w:shd w:val="clear" w:color="auto" w:fill="FFE6CD"/>
          </w:tcPr>
          <w:p w14:paraId="7A613DD9" w14:textId="77777777" w:rsidR="00A3076C" w:rsidRPr="00677889" w:rsidRDefault="00A3076C" w:rsidP="00A4198D">
            <w:pPr>
              <w:pStyle w:val="Heading2"/>
              <w:spacing w:before="240" w:line="300" w:lineRule="auto"/>
              <w:ind w:left="255"/>
              <w:outlineLvl w:val="1"/>
              <w:rPr>
                <w:rFonts w:asciiTheme="minorHAnsi" w:hAnsiTheme="minorHAnsi"/>
                <w:color w:val="1D7998" w:themeColor="accent2" w:themeShade="BF"/>
                <w:sz w:val="22"/>
                <w:szCs w:val="22"/>
              </w:rPr>
            </w:pPr>
            <w:bookmarkStart w:id="48" w:name="_Toc446242269"/>
            <w:r w:rsidRPr="00677889">
              <w:rPr>
                <w:rFonts w:asciiTheme="minorHAnsi" w:hAnsiTheme="minorHAnsi"/>
                <w:color w:val="1D7998" w:themeColor="accent2" w:themeShade="BF"/>
                <w:sz w:val="22"/>
                <w:szCs w:val="22"/>
              </w:rPr>
              <w:t>STANDARD 3 –</w:t>
            </w:r>
            <w:r w:rsidR="008C176B" w:rsidRPr="00677889">
              <w:rPr>
                <w:rFonts w:asciiTheme="minorHAnsi" w:hAnsiTheme="minorHAnsi"/>
                <w:color w:val="1D7998" w:themeColor="accent2" w:themeShade="BF"/>
                <w:sz w:val="22"/>
                <w:szCs w:val="22"/>
              </w:rPr>
              <w:t xml:space="preserve"> </w:t>
            </w:r>
            <w:r w:rsidRPr="00677889">
              <w:rPr>
                <w:rFonts w:asciiTheme="minorHAnsi" w:hAnsiTheme="minorHAnsi"/>
                <w:color w:val="1D7998" w:themeColor="accent2" w:themeShade="BF"/>
                <w:sz w:val="22"/>
                <w:szCs w:val="22"/>
              </w:rPr>
              <w:t>PROGRAM OF STUDY</w:t>
            </w:r>
            <w:bookmarkEnd w:id="48"/>
          </w:p>
          <w:p w14:paraId="7F8EA258" w14:textId="382EA3BC" w:rsidR="00FC2F0B" w:rsidRPr="00677889" w:rsidRDefault="00A3076C" w:rsidP="00CD0762">
            <w:pPr>
              <w:pStyle w:val="BodyText"/>
              <w:ind w:left="258"/>
              <w:rPr>
                <w:rFonts w:asciiTheme="minorHAnsi" w:hAnsiTheme="minorHAnsi"/>
                <w:color w:val="375992" w:themeColor="accent5" w:themeShade="BF"/>
                <w:sz w:val="24"/>
                <w:szCs w:val="24"/>
              </w:rPr>
            </w:pPr>
            <w:r w:rsidRPr="00677889">
              <w:rPr>
                <w:color w:val="1D7998" w:themeColor="accent2" w:themeShade="BF"/>
                <w:sz w:val="22"/>
                <w:szCs w:val="22"/>
              </w:rPr>
              <w:t xml:space="preserve">The program </w:t>
            </w:r>
            <w:r w:rsidR="00383B5F" w:rsidRPr="00677889">
              <w:rPr>
                <w:color w:val="1D7998" w:themeColor="accent2" w:themeShade="BF"/>
                <w:sz w:val="22"/>
                <w:szCs w:val="22"/>
              </w:rPr>
              <w:t xml:space="preserve">of </w:t>
            </w:r>
            <w:r w:rsidRPr="00677889">
              <w:rPr>
                <w:color w:val="1D7998" w:themeColor="accent2" w:themeShade="BF"/>
                <w:sz w:val="22"/>
                <w:szCs w:val="22"/>
              </w:rPr>
              <w:t xml:space="preserve">study, including the curriculum and resourcing, is based on contemporary educational </w:t>
            </w:r>
            <w:r w:rsidR="00922F90" w:rsidRPr="00677889">
              <w:rPr>
                <w:color w:val="1D7998" w:themeColor="accent2" w:themeShade="BF"/>
                <w:sz w:val="22"/>
                <w:szCs w:val="22"/>
              </w:rPr>
              <w:t xml:space="preserve">and professional </w:t>
            </w:r>
            <w:r w:rsidRPr="00677889">
              <w:rPr>
                <w:color w:val="1D7998" w:themeColor="accent2" w:themeShade="BF"/>
                <w:sz w:val="22"/>
                <w:szCs w:val="22"/>
              </w:rPr>
              <w:t>theory</w:t>
            </w:r>
            <w:r w:rsidR="00922F90" w:rsidRPr="00677889">
              <w:rPr>
                <w:color w:val="1D7998" w:themeColor="accent2" w:themeShade="BF"/>
                <w:sz w:val="22"/>
                <w:szCs w:val="22"/>
              </w:rPr>
              <w:t>, evidence</w:t>
            </w:r>
            <w:r w:rsidRPr="00677889">
              <w:rPr>
                <w:color w:val="1D7998" w:themeColor="accent2" w:themeShade="BF"/>
                <w:sz w:val="22"/>
                <w:szCs w:val="22"/>
              </w:rPr>
              <w:t xml:space="preserve"> and practice</w:t>
            </w:r>
            <w:r w:rsidR="00E6361F" w:rsidRPr="00677889">
              <w:rPr>
                <w:color w:val="1D7998" w:themeColor="accent2" w:themeShade="BF"/>
                <w:sz w:val="22"/>
                <w:szCs w:val="22"/>
              </w:rPr>
              <w:t xml:space="preserve"> and </w:t>
            </w:r>
            <w:r w:rsidR="0064123B" w:rsidRPr="00677889">
              <w:rPr>
                <w:color w:val="1D7998" w:themeColor="accent2" w:themeShade="BF"/>
                <w:sz w:val="22"/>
                <w:szCs w:val="22"/>
              </w:rPr>
              <w:t>en</w:t>
            </w:r>
            <w:r w:rsidR="0064123B">
              <w:rPr>
                <w:color w:val="1D7998" w:themeColor="accent2" w:themeShade="BF"/>
                <w:sz w:val="22"/>
                <w:szCs w:val="22"/>
              </w:rPr>
              <w:t>sures</w:t>
            </w:r>
            <w:r w:rsidR="0064123B" w:rsidRPr="00677889">
              <w:rPr>
                <w:color w:val="1D7998" w:themeColor="accent2" w:themeShade="BF"/>
                <w:sz w:val="22"/>
                <w:szCs w:val="22"/>
              </w:rPr>
              <w:t xml:space="preserve"> </w:t>
            </w:r>
            <w:r w:rsidR="00E6361F" w:rsidRPr="00677889">
              <w:rPr>
                <w:color w:val="1D7998" w:themeColor="accent2" w:themeShade="BF"/>
                <w:sz w:val="22"/>
                <w:szCs w:val="22"/>
              </w:rPr>
              <w:t>students achieve the required competencies to practise in the chiropractic profession</w:t>
            </w:r>
            <w:r w:rsidRPr="00677889">
              <w:rPr>
                <w:color w:val="1D7998" w:themeColor="accent2" w:themeShade="BF"/>
                <w:sz w:val="22"/>
                <w:szCs w:val="22"/>
              </w:rPr>
              <w:t>.</w:t>
            </w:r>
          </w:p>
        </w:tc>
      </w:tr>
    </w:tbl>
    <w:p w14:paraId="27E3DC07" w14:textId="77777777" w:rsidR="00BC46F2" w:rsidRPr="00677889" w:rsidRDefault="00BC46F2" w:rsidP="00BC46F2">
      <w:pPr>
        <w:pStyle w:val="BodyText"/>
      </w:pPr>
      <w:bookmarkStart w:id="49" w:name="_Toc435716083"/>
      <w:bookmarkStart w:id="50" w:name="_Toc435728899"/>
    </w:p>
    <w:p w14:paraId="6B7CC711" w14:textId="77777777" w:rsidR="00FC2F0B" w:rsidRPr="00677889" w:rsidRDefault="00FC2F0B" w:rsidP="002A11E0">
      <w:pPr>
        <w:pStyle w:val="Heading3"/>
        <w:keepLines/>
        <w:widowControl/>
        <w:numPr>
          <w:ilvl w:val="0"/>
          <w:numId w:val="10"/>
        </w:numPr>
        <w:spacing w:before="240" w:after="0" w:line="300" w:lineRule="auto"/>
      </w:pPr>
      <w:bookmarkStart w:id="51" w:name="_Toc437248411"/>
      <w:bookmarkStart w:id="52" w:name="_Toc444178122"/>
      <w:bookmarkStart w:id="53" w:name="_Toc446242270"/>
      <w:r w:rsidRPr="00677889">
        <w:t>Criteria</w:t>
      </w:r>
      <w:bookmarkEnd w:id="49"/>
      <w:bookmarkEnd w:id="50"/>
      <w:bookmarkEnd w:id="51"/>
      <w:bookmarkEnd w:id="52"/>
      <w:bookmarkEnd w:id="53"/>
    </w:p>
    <w:p w14:paraId="2CEDBECE" w14:textId="0EFFE1D1" w:rsidR="00FC2F0B" w:rsidRPr="00677889" w:rsidRDefault="00FC2F0B" w:rsidP="002A11E0">
      <w:pPr>
        <w:pStyle w:val="ListParagraph"/>
        <w:numPr>
          <w:ilvl w:val="1"/>
          <w:numId w:val="10"/>
        </w:numPr>
        <w:spacing w:before="240" w:after="120"/>
        <w:ind w:left="567" w:hanging="567"/>
        <w:rPr>
          <w:rFonts w:asciiTheme="minorHAnsi" w:hAnsiTheme="minorHAnsi"/>
          <w:szCs w:val="21"/>
        </w:rPr>
      </w:pPr>
      <w:r w:rsidRPr="00677889">
        <w:rPr>
          <w:rFonts w:asciiTheme="minorHAnsi" w:hAnsiTheme="minorHAnsi"/>
          <w:szCs w:val="21"/>
        </w:rPr>
        <w:t>A coherent educational philosophy informs the program of study design and delivery.</w:t>
      </w:r>
    </w:p>
    <w:p w14:paraId="37BDA068" w14:textId="0986CE18" w:rsidR="000734A7" w:rsidRPr="00677889" w:rsidRDefault="000734A7" w:rsidP="002A11E0">
      <w:pPr>
        <w:pStyle w:val="ListParagraph"/>
        <w:numPr>
          <w:ilvl w:val="1"/>
          <w:numId w:val="10"/>
        </w:numPr>
        <w:spacing w:before="240" w:after="120"/>
        <w:ind w:left="567" w:hanging="567"/>
        <w:rPr>
          <w:rFonts w:asciiTheme="minorHAnsi" w:hAnsiTheme="minorHAnsi"/>
          <w:szCs w:val="21"/>
        </w:rPr>
      </w:pPr>
      <w:r w:rsidRPr="00677889">
        <w:rPr>
          <w:rFonts w:asciiTheme="minorHAnsi" w:hAnsiTheme="minorHAnsi"/>
          <w:szCs w:val="21"/>
        </w:rPr>
        <w:t>Program content is informed by contemporary research and evidence based practice.</w:t>
      </w:r>
    </w:p>
    <w:p w14:paraId="00BF78C5" w14:textId="04AE0D5B" w:rsidR="00FC2F0B" w:rsidRPr="00677889" w:rsidRDefault="00FC2F0B" w:rsidP="002A11E0">
      <w:pPr>
        <w:pStyle w:val="ListParagraph"/>
        <w:numPr>
          <w:ilvl w:val="1"/>
          <w:numId w:val="10"/>
        </w:numPr>
        <w:spacing w:before="240" w:after="120"/>
        <w:ind w:left="567" w:hanging="567"/>
        <w:rPr>
          <w:rFonts w:asciiTheme="minorHAnsi" w:hAnsiTheme="minorHAnsi"/>
          <w:szCs w:val="21"/>
        </w:rPr>
      </w:pPr>
      <w:r w:rsidRPr="00677889">
        <w:rPr>
          <w:rFonts w:asciiTheme="minorHAnsi" w:hAnsiTheme="minorHAnsi"/>
          <w:szCs w:val="21"/>
        </w:rPr>
        <w:t>Learning outcomes address all the relevant chiropractic competency standards.</w:t>
      </w:r>
    </w:p>
    <w:p w14:paraId="4C88DFE1" w14:textId="2443050C" w:rsidR="00FC2F0B" w:rsidRPr="00677889" w:rsidRDefault="00FC2F0B" w:rsidP="002A11E0">
      <w:pPr>
        <w:pStyle w:val="ListParagraph"/>
        <w:numPr>
          <w:ilvl w:val="1"/>
          <w:numId w:val="10"/>
        </w:numPr>
        <w:spacing w:before="240" w:after="120"/>
        <w:ind w:left="567" w:hanging="567"/>
        <w:rPr>
          <w:rFonts w:asciiTheme="minorHAnsi" w:eastAsia="Calibri" w:hAnsiTheme="minorHAnsi" w:cstheme="minorHAnsi"/>
          <w:szCs w:val="21"/>
        </w:rPr>
      </w:pPr>
      <w:r w:rsidRPr="00677889">
        <w:rPr>
          <w:rFonts w:asciiTheme="minorHAnsi" w:hAnsiTheme="minorHAnsi" w:cstheme="minorHAnsi"/>
          <w:szCs w:val="21"/>
        </w:rPr>
        <w:t>Principles of inter-professional learning and practice are embedded in</w:t>
      </w:r>
      <w:r w:rsidRPr="00677889">
        <w:rPr>
          <w:rFonts w:asciiTheme="minorHAnsi" w:hAnsiTheme="minorHAnsi" w:cstheme="minorHAnsi"/>
          <w:spacing w:val="-27"/>
          <w:szCs w:val="21"/>
        </w:rPr>
        <w:t xml:space="preserve"> </w:t>
      </w:r>
      <w:r w:rsidRPr="00677889">
        <w:rPr>
          <w:rFonts w:asciiTheme="minorHAnsi" w:hAnsiTheme="minorHAnsi" w:cstheme="minorHAnsi"/>
          <w:szCs w:val="21"/>
        </w:rPr>
        <w:t>the</w:t>
      </w:r>
      <w:r w:rsidRPr="00677889">
        <w:rPr>
          <w:rFonts w:asciiTheme="minorHAnsi" w:hAnsiTheme="minorHAnsi" w:cstheme="minorHAnsi"/>
          <w:w w:val="99"/>
          <w:szCs w:val="21"/>
        </w:rPr>
        <w:t xml:space="preserve"> </w:t>
      </w:r>
      <w:r w:rsidRPr="00677889">
        <w:rPr>
          <w:rFonts w:asciiTheme="minorHAnsi" w:hAnsiTheme="minorHAnsi" w:cstheme="minorHAnsi"/>
          <w:szCs w:val="21"/>
        </w:rPr>
        <w:t>curriculum.</w:t>
      </w:r>
    </w:p>
    <w:p w14:paraId="3A018B10" w14:textId="46A8FBBF" w:rsidR="00FC2F0B" w:rsidRPr="00677889" w:rsidRDefault="00FC2F0B" w:rsidP="002A11E0">
      <w:pPr>
        <w:pStyle w:val="ListParagraph"/>
        <w:numPr>
          <w:ilvl w:val="1"/>
          <w:numId w:val="10"/>
        </w:numPr>
        <w:spacing w:before="240" w:after="120"/>
        <w:ind w:left="567" w:hanging="567"/>
        <w:rPr>
          <w:rFonts w:asciiTheme="minorHAnsi" w:hAnsiTheme="minorHAnsi"/>
          <w:szCs w:val="21"/>
        </w:rPr>
      </w:pPr>
      <w:r w:rsidRPr="00677889">
        <w:rPr>
          <w:rFonts w:asciiTheme="minorHAnsi" w:hAnsiTheme="minorHAnsi"/>
          <w:szCs w:val="21"/>
        </w:rPr>
        <w:t xml:space="preserve">Cultural awareness and competence </w:t>
      </w:r>
      <w:r w:rsidR="00E6361F" w:rsidRPr="00677889">
        <w:rPr>
          <w:rFonts w:asciiTheme="minorHAnsi" w:hAnsiTheme="minorHAnsi"/>
          <w:szCs w:val="21"/>
        </w:rPr>
        <w:t>are</w:t>
      </w:r>
      <w:r w:rsidRPr="00677889">
        <w:rPr>
          <w:rFonts w:asciiTheme="minorHAnsi" w:hAnsiTheme="minorHAnsi"/>
          <w:szCs w:val="21"/>
        </w:rPr>
        <w:t xml:space="preserve"> integrated within the program and clearly articulated as required disciplinary learning outcomes.</w:t>
      </w:r>
      <w:r w:rsidR="000734A7" w:rsidRPr="00677889">
        <w:rPr>
          <w:rStyle w:val="FootnoteReference"/>
          <w:szCs w:val="21"/>
        </w:rPr>
        <w:footnoteReference w:id="6"/>
      </w:r>
    </w:p>
    <w:p w14:paraId="6840BF53" w14:textId="07558271" w:rsidR="00FC2F0B" w:rsidRPr="00677889" w:rsidRDefault="00FC2F0B" w:rsidP="002A11E0">
      <w:pPr>
        <w:pStyle w:val="ListParagraph"/>
        <w:numPr>
          <w:ilvl w:val="1"/>
          <w:numId w:val="10"/>
        </w:numPr>
        <w:spacing w:before="240" w:after="120"/>
        <w:ind w:left="567" w:hanging="567"/>
        <w:rPr>
          <w:rFonts w:asciiTheme="minorHAnsi" w:hAnsiTheme="minorHAnsi"/>
          <w:szCs w:val="21"/>
        </w:rPr>
      </w:pPr>
      <w:r w:rsidRPr="00677889">
        <w:rPr>
          <w:rFonts w:asciiTheme="minorHAnsi" w:hAnsiTheme="minorHAnsi"/>
          <w:szCs w:val="21"/>
        </w:rPr>
        <w:t xml:space="preserve">Teaching and learning environments </w:t>
      </w:r>
      <w:r w:rsidR="0064123B">
        <w:rPr>
          <w:rFonts w:asciiTheme="minorHAnsi" w:hAnsiTheme="minorHAnsi"/>
          <w:szCs w:val="21"/>
        </w:rPr>
        <w:t>ensure</w:t>
      </w:r>
      <w:r w:rsidR="0064123B" w:rsidRPr="00677889">
        <w:rPr>
          <w:rFonts w:asciiTheme="minorHAnsi" w:hAnsiTheme="minorHAnsi"/>
          <w:szCs w:val="21"/>
        </w:rPr>
        <w:t xml:space="preserve"> </w:t>
      </w:r>
      <w:r w:rsidRPr="00677889">
        <w:rPr>
          <w:rFonts w:asciiTheme="minorHAnsi" w:hAnsiTheme="minorHAnsi"/>
          <w:szCs w:val="21"/>
        </w:rPr>
        <w:t>the achievement of the required learning outcomes.</w:t>
      </w:r>
    </w:p>
    <w:p w14:paraId="16F8BD2E" w14:textId="4BB92B55" w:rsidR="00FC2F0B" w:rsidRPr="00677889" w:rsidRDefault="00FC2F0B" w:rsidP="002A11E0">
      <w:pPr>
        <w:pStyle w:val="ListParagraph"/>
        <w:numPr>
          <w:ilvl w:val="1"/>
          <w:numId w:val="10"/>
        </w:numPr>
        <w:spacing w:before="240" w:after="120"/>
        <w:ind w:left="567" w:hanging="567"/>
        <w:rPr>
          <w:rFonts w:asciiTheme="minorHAnsi" w:hAnsiTheme="minorHAnsi"/>
          <w:szCs w:val="21"/>
        </w:rPr>
      </w:pPr>
      <w:r w:rsidRPr="00677889">
        <w:rPr>
          <w:rFonts w:asciiTheme="minorHAnsi" w:hAnsiTheme="minorHAnsi"/>
          <w:szCs w:val="21"/>
        </w:rPr>
        <w:t xml:space="preserve">The quality and quantity of clinical experience </w:t>
      </w:r>
      <w:r w:rsidR="004D027B" w:rsidRPr="00677889">
        <w:rPr>
          <w:rFonts w:asciiTheme="minorHAnsi" w:hAnsiTheme="minorHAnsi"/>
          <w:szCs w:val="21"/>
        </w:rPr>
        <w:t xml:space="preserve">are </w:t>
      </w:r>
      <w:r w:rsidRPr="00677889">
        <w:rPr>
          <w:rFonts w:asciiTheme="minorHAnsi" w:hAnsiTheme="minorHAnsi"/>
          <w:szCs w:val="21"/>
        </w:rPr>
        <w:t>sufficient for developing a student to be a graduate competent to practise.</w:t>
      </w:r>
    </w:p>
    <w:p w14:paraId="5F7E4202" w14:textId="7EF078F8" w:rsidR="00FC2F0B" w:rsidRPr="00677889" w:rsidRDefault="00FC2F0B" w:rsidP="002A11E0">
      <w:pPr>
        <w:pStyle w:val="ListParagraph"/>
        <w:numPr>
          <w:ilvl w:val="1"/>
          <w:numId w:val="10"/>
        </w:numPr>
        <w:spacing w:before="240" w:after="120"/>
        <w:ind w:left="567" w:hanging="567"/>
        <w:rPr>
          <w:rFonts w:asciiTheme="minorHAnsi" w:hAnsiTheme="minorHAnsi"/>
          <w:szCs w:val="21"/>
        </w:rPr>
      </w:pPr>
      <w:r w:rsidRPr="00677889">
        <w:rPr>
          <w:rFonts w:asciiTheme="minorHAnsi" w:hAnsiTheme="minorHAnsi"/>
          <w:szCs w:val="21"/>
          <w:lang w:val="en-US"/>
        </w:rPr>
        <w:t xml:space="preserve">Learning and teaching methods are </w:t>
      </w:r>
      <w:r w:rsidR="001A0C17" w:rsidRPr="00677889">
        <w:rPr>
          <w:rFonts w:asciiTheme="minorHAnsi" w:hAnsiTheme="minorHAnsi"/>
          <w:szCs w:val="21"/>
          <w:lang w:val="en-US"/>
        </w:rPr>
        <w:t xml:space="preserve">explicitly </w:t>
      </w:r>
      <w:r w:rsidRPr="00677889">
        <w:rPr>
          <w:rFonts w:asciiTheme="minorHAnsi" w:hAnsiTheme="minorHAnsi"/>
          <w:szCs w:val="21"/>
          <w:lang w:val="en-US"/>
        </w:rPr>
        <w:t>designed and used to enable students to achieve the required learning outcomes.</w:t>
      </w:r>
    </w:p>
    <w:p w14:paraId="09B73EB1" w14:textId="6A5DB1BC" w:rsidR="00FC2F0B" w:rsidRPr="00677889" w:rsidRDefault="00CB10FB" w:rsidP="00CB10FB">
      <w:pPr>
        <w:pStyle w:val="ListParagraph"/>
        <w:numPr>
          <w:ilvl w:val="1"/>
          <w:numId w:val="10"/>
        </w:numPr>
        <w:spacing w:before="240" w:after="120"/>
        <w:ind w:left="567" w:hanging="567"/>
        <w:rPr>
          <w:rFonts w:asciiTheme="minorHAnsi" w:hAnsiTheme="minorHAnsi"/>
          <w:szCs w:val="21"/>
        </w:rPr>
      </w:pPr>
      <w:r w:rsidRPr="00677889">
        <w:rPr>
          <w:rFonts w:asciiTheme="minorHAnsi" w:hAnsiTheme="minorHAnsi"/>
          <w:szCs w:val="21"/>
        </w:rPr>
        <w:t>Learning environments support the achievement of research skills appropriate to the academic level of the program</w:t>
      </w:r>
      <w:r w:rsidR="00FC2F0B" w:rsidRPr="00677889">
        <w:rPr>
          <w:rFonts w:asciiTheme="minorHAnsi" w:hAnsiTheme="minorHAnsi"/>
          <w:szCs w:val="21"/>
        </w:rPr>
        <w:t>.</w:t>
      </w:r>
    </w:p>
    <w:p w14:paraId="55ECB85C" w14:textId="27786C04" w:rsidR="00FC2F0B" w:rsidRPr="00677889" w:rsidRDefault="00FC2F0B" w:rsidP="002A11E0">
      <w:pPr>
        <w:pStyle w:val="ListParagraph"/>
        <w:numPr>
          <w:ilvl w:val="1"/>
          <w:numId w:val="10"/>
        </w:numPr>
        <w:spacing w:before="240" w:after="120"/>
        <w:ind w:left="567" w:hanging="567"/>
        <w:rPr>
          <w:rFonts w:asciiTheme="minorHAnsi" w:hAnsiTheme="minorHAnsi"/>
          <w:szCs w:val="21"/>
        </w:rPr>
      </w:pPr>
      <w:r w:rsidRPr="00677889">
        <w:rPr>
          <w:rFonts w:asciiTheme="minorHAnsi" w:hAnsiTheme="minorHAnsi"/>
          <w:szCs w:val="21"/>
          <w:lang w:val="en-US"/>
        </w:rPr>
        <w:t>The chiropractic program has the resources to sustain the quality of education that is required to facilitate the achievement of the relevant chiropractic competency standards.</w:t>
      </w:r>
    </w:p>
    <w:p w14:paraId="756973C4" w14:textId="591614F2" w:rsidR="00FC2F0B" w:rsidRPr="00677889" w:rsidRDefault="00FC2F0B" w:rsidP="002A11E0">
      <w:pPr>
        <w:pStyle w:val="ListParagraph"/>
        <w:numPr>
          <w:ilvl w:val="1"/>
          <w:numId w:val="10"/>
        </w:numPr>
        <w:spacing w:before="240" w:after="120"/>
        <w:ind w:left="567" w:hanging="567"/>
        <w:rPr>
          <w:rFonts w:asciiTheme="minorHAnsi" w:hAnsiTheme="minorHAnsi"/>
          <w:szCs w:val="21"/>
        </w:rPr>
      </w:pPr>
      <w:r w:rsidRPr="00677889">
        <w:rPr>
          <w:rFonts w:asciiTheme="minorHAnsi" w:hAnsiTheme="minorHAnsi"/>
          <w:szCs w:val="21"/>
        </w:rPr>
        <w:t xml:space="preserve">Teaching </w:t>
      </w:r>
      <w:r w:rsidR="004D027B" w:rsidRPr="00677889">
        <w:rPr>
          <w:rFonts w:asciiTheme="minorHAnsi" w:hAnsiTheme="minorHAnsi"/>
          <w:szCs w:val="21"/>
        </w:rPr>
        <w:t xml:space="preserve">and clinical </w:t>
      </w:r>
      <w:r w:rsidRPr="00677889">
        <w:rPr>
          <w:rFonts w:asciiTheme="minorHAnsi" w:hAnsiTheme="minorHAnsi"/>
          <w:szCs w:val="21"/>
        </w:rPr>
        <w:t>staff are suitably qualified and experienced to deliver the units they teach</w:t>
      </w:r>
      <w:r w:rsidR="004D027B" w:rsidRPr="00677889">
        <w:rPr>
          <w:rFonts w:asciiTheme="minorHAnsi" w:hAnsiTheme="minorHAnsi"/>
          <w:szCs w:val="21"/>
        </w:rPr>
        <w:t xml:space="preserve"> and supervise clinical experience</w:t>
      </w:r>
      <w:r w:rsidRPr="00677889">
        <w:rPr>
          <w:rFonts w:asciiTheme="minorHAnsi" w:hAnsiTheme="minorHAnsi"/>
          <w:szCs w:val="21"/>
        </w:rPr>
        <w:t>.</w:t>
      </w:r>
    </w:p>
    <w:p w14:paraId="698B17F1" w14:textId="18402FDB" w:rsidR="00FC2F0B" w:rsidRPr="00677889" w:rsidRDefault="00FC2F0B" w:rsidP="002A11E0">
      <w:pPr>
        <w:pStyle w:val="ListParagraph"/>
        <w:numPr>
          <w:ilvl w:val="1"/>
          <w:numId w:val="10"/>
        </w:numPr>
        <w:spacing w:before="240" w:after="120"/>
        <w:ind w:left="567" w:hanging="567"/>
        <w:rPr>
          <w:rFonts w:asciiTheme="minorHAnsi" w:hAnsiTheme="minorHAnsi"/>
          <w:szCs w:val="21"/>
          <w:lang w:val="en-US"/>
        </w:rPr>
      </w:pPr>
      <w:r w:rsidRPr="00677889">
        <w:rPr>
          <w:rFonts w:asciiTheme="minorHAnsi" w:hAnsiTheme="minorHAnsi"/>
          <w:szCs w:val="21"/>
          <w:lang w:val="en-US"/>
        </w:rPr>
        <w:t>Facilities and equipment are accessible, well-maintained, fit</w:t>
      </w:r>
      <w:r w:rsidR="001018B3" w:rsidRPr="00677889">
        <w:rPr>
          <w:rFonts w:asciiTheme="minorHAnsi" w:hAnsiTheme="minorHAnsi"/>
          <w:szCs w:val="21"/>
          <w:lang w:val="en-US"/>
        </w:rPr>
        <w:t>-</w:t>
      </w:r>
      <w:r w:rsidRPr="00677889">
        <w:rPr>
          <w:rFonts w:asciiTheme="minorHAnsi" w:hAnsiTheme="minorHAnsi"/>
          <w:szCs w:val="21"/>
          <w:lang w:val="en-US"/>
        </w:rPr>
        <w:t>for</w:t>
      </w:r>
      <w:r w:rsidR="001018B3" w:rsidRPr="00677889">
        <w:rPr>
          <w:rFonts w:asciiTheme="minorHAnsi" w:hAnsiTheme="minorHAnsi"/>
          <w:szCs w:val="21"/>
          <w:lang w:val="en-US"/>
        </w:rPr>
        <w:t>-</w:t>
      </w:r>
      <w:r w:rsidRPr="00677889">
        <w:rPr>
          <w:rFonts w:asciiTheme="minorHAnsi" w:hAnsiTheme="minorHAnsi"/>
          <w:szCs w:val="21"/>
          <w:lang w:val="en-US"/>
        </w:rPr>
        <w:t>purpose</w:t>
      </w:r>
      <w:r w:rsidR="007C01FB" w:rsidRPr="00677889">
        <w:rPr>
          <w:rFonts w:asciiTheme="minorHAnsi" w:hAnsiTheme="minorHAnsi"/>
          <w:szCs w:val="21"/>
          <w:lang w:val="en-US"/>
        </w:rPr>
        <w:t xml:space="preserve"> and</w:t>
      </w:r>
      <w:r w:rsidRPr="00677889">
        <w:rPr>
          <w:rFonts w:asciiTheme="minorHAnsi" w:hAnsiTheme="minorHAnsi"/>
          <w:szCs w:val="21"/>
          <w:lang w:val="en-US"/>
        </w:rPr>
        <w:t xml:space="preserve"> support the achievement of learning outcomes.</w:t>
      </w:r>
    </w:p>
    <w:p w14:paraId="18226E91" w14:textId="77777777" w:rsidR="006B4354" w:rsidRPr="00677889" w:rsidRDefault="00FC2F0B" w:rsidP="006B4354">
      <w:r w:rsidRPr="00677889">
        <w:br w:type="page"/>
      </w:r>
    </w:p>
    <w:p w14:paraId="7BF8675F" w14:textId="77777777" w:rsidR="008C6F59" w:rsidRPr="00677889" w:rsidRDefault="008C6F59" w:rsidP="006B4354"/>
    <w:p w14:paraId="03A29848" w14:textId="77777777" w:rsidR="008C6F59" w:rsidRPr="00677889" w:rsidRDefault="008C6F59" w:rsidP="006B4354"/>
    <w:p w14:paraId="0FB8C3DF" w14:textId="77777777" w:rsidR="009D2A30" w:rsidRPr="00677889" w:rsidRDefault="009D2A30" w:rsidP="006B4354"/>
    <w:p w14:paraId="3E3F00F4" w14:textId="77777777" w:rsidR="008C6F59" w:rsidRPr="00677889" w:rsidRDefault="008C6F59" w:rsidP="006B4354"/>
    <w:tbl>
      <w:tblPr>
        <w:tblStyle w:val="TableGrid"/>
        <w:tblW w:w="9240" w:type="dxa"/>
        <w:tblLook w:val="04A0" w:firstRow="1" w:lastRow="0" w:firstColumn="1" w:lastColumn="0" w:noHBand="0" w:noVBand="1"/>
      </w:tblPr>
      <w:tblGrid>
        <w:gridCol w:w="9240"/>
      </w:tblGrid>
      <w:tr w:rsidR="006B4354" w:rsidRPr="00677889" w14:paraId="67D49E10" w14:textId="77777777" w:rsidTr="00151B85">
        <w:tc>
          <w:tcPr>
            <w:tcW w:w="9240" w:type="dxa"/>
            <w:tcBorders>
              <w:top w:val="thinThickThinSmallGap" w:sz="24" w:space="0" w:color="EE7700"/>
              <w:left w:val="thinThickThinSmallGap" w:sz="24" w:space="0" w:color="EE7700"/>
              <w:bottom w:val="thinThickThinSmallGap" w:sz="24" w:space="0" w:color="EE7700"/>
              <w:right w:val="thinThickThinSmallGap" w:sz="24" w:space="0" w:color="EE7700"/>
            </w:tcBorders>
            <w:shd w:val="clear" w:color="auto" w:fill="FFE6CD"/>
          </w:tcPr>
          <w:p w14:paraId="12145A4C" w14:textId="77777777" w:rsidR="006B4354" w:rsidRPr="00677889" w:rsidRDefault="006B4354" w:rsidP="00151B85">
            <w:pPr>
              <w:pStyle w:val="Heading2"/>
              <w:spacing w:before="240" w:line="300" w:lineRule="auto"/>
              <w:ind w:left="255"/>
              <w:outlineLvl w:val="1"/>
              <w:rPr>
                <w:rFonts w:asciiTheme="minorHAnsi" w:hAnsiTheme="minorHAnsi"/>
                <w:color w:val="1D7998" w:themeColor="accent2" w:themeShade="BF"/>
                <w:sz w:val="22"/>
                <w:szCs w:val="22"/>
              </w:rPr>
            </w:pPr>
            <w:bookmarkStart w:id="54" w:name="_Toc446242271"/>
            <w:r w:rsidRPr="00677889">
              <w:rPr>
                <w:rFonts w:asciiTheme="minorHAnsi" w:hAnsiTheme="minorHAnsi"/>
                <w:color w:val="1D7998" w:themeColor="accent2" w:themeShade="BF"/>
                <w:sz w:val="22"/>
                <w:szCs w:val="22"/>
              </w:rPr>
              <w:t>STANDARD 4 – THE STUDENT EXPERIENCE</w:t>
            </w:r>
            <w:bookmarkEnd w:id="54"/>
          </w:p>
          <w:p w14:paraId="31D8DE4A" w14:textId="29970D4D" w:rsidR="006B4354" w:rsidRPr="00677889" w:rsidRDefault="00B104CC" w:rsidP="00B104CC">
            <w:pPr>
              <w:pStyle w:val="BodyText"/>
              <w:ind w:left="258"/>
              <w:rPr>
                <w:b/>
                <w:sz w:val="22"/>
                <w:szCs w:val="22"/>
              </w:rPr>
            </w:pPr>
            <w:r w:rsidRPr="00677889">
              <w:rPr>
                <w:color w:val="1D7998" w:themeColor="accent2" w:themeShade="BF"/>
                <w:sz w:val="22"/>
                <w:szCs w:val="22"/>
              </w:rPr>
              <w:t>Students are provided with</w:t>
            </w:r>
            <w:r w:rsidR="00402EDE" w:rsidRPr="00677889">
              <w:rPr>
                <w:color w:val="1D7998" w:themeColor="accent2" w:themeShade="BF"/>
                <w:sz w:val="22"/>
                <w:szCs w:val="22"/>
              </w:rPr>
              <w:t xml:space="preserve"> </w:t>
            </w:r>
            <w:r w:rsidR="006B4354" w:rsidRPr="00677889">
              <w:rPr>
                <w:color w:val="1D7998" w:themeColor="accent2" w:themeShade="BF"/>
                <w:sz w:val="22"/>
                <w:szCs w:val="22"/>
              </w:rPr>
              <w:t>equitable and timely access to information and support</w:t>
            </w:r>
            <w:r w:rsidRPr="00677889">
              <w:rPr>
                <w:color w:val="1D7998" w:themeColor="accent2" w:themeShade="BF"/>
                <w:sz w:val="22"/>
                <w:szCs w:val="22"/>
              </w:rPr>
              <w:t>.</w:t>
            </w:r>
          </w:p>
        </w:tc>
      </w:tr>
    </w:tbl>
    <w:p w14:paraId="62C0BC34" w14:textId="77777777" w:rsidR="00FC2F0B" w:rsidRPr="00677889" w:rsidRDefault="00FC2F0B" w:rsidP="00FC2F0B"/>
    <w:p w14:paraId="1701026A" w14:textId="77777777" w:rsidR="00FC2F0B" w:rsidRPr="00677889" w:rsidRDefault="00FC2F0B" w:rsidP="002A11E0">
      <w:pPr>
        <w:pStyle w:val="Heading3"/>
        <w:keepLines/>
        <w:widowControl/>
        <w:numPr>
          <w:ilvl w:val="0"/>
          <w:numId w:val="10"/>
        </w:numPr>
        <w:spacing w:before="240" w:after="0" w:line="300" w:lineRule="auto"/>
      </w:pPr>
      <w:bookmarkStart w:id="55" w:name="_Toc435716085"/>
      <w:bookmarkStart w:id="56" w:name="_Toc435728901"/>
      <w:bookmarkStart w:id="57" w:name="_Toc437248413"/>
      <w:bookmarkStart w:id="58" w:name="_Toc444178124"/>
      <w:bookmarkStart w:id="59" w:name="_Toc446242272"/>
      <w:r w:rsidRPr="00677889">
        <w:t>Criteria</w:t>
      </w:r>
      <w:bookmarkEnd w:id="55"/>
      <w:bookmarkEnd w:id="56"/>
      <w:bookmarkEnd w:id="57"/>
      <w:bookmarkEnd w:id="58"/>
      <w:bookmarkEnd w:id="59"/>
    </w:p>
    <w:p w14:paraId="1CC66916" w14:textId="77777777" w:rsidR="00FC2F0B" w:rsidRPr="00677889" w:rsidRDefault="00FC2F0B" w:rsidP="002A11E0">
      <w:pPr>
        <w:pStyle w:val="ListParagraph"/>
        <w:numPr>
          <w:ilvl w:val="1"/>
          <w:numId w:val="10"/>
        </w:numPr>
        <w:spacing w:before="240"/>
        <w:ind w:left="567" w:hanging="567"/>
        <w:rPr>
          <w:rFonts w:asciiTheme="minorHAnsi" w:hAnsiTheme="minorHAnsi"/>
          <w:szCs w:val="21"/>
        </w:rPr>
      </w:pPr>
      <w:r w:rsidRPr="00677889">
        <w:rPr>
          <w:rFonts w:asciiTheme="minorHAnsi" w:hAnsiTheme="minorHAnsi"/>
          <w:szCs w:val="21"/>
        </w:rPr>
        <w:t xml:space="preserve">Program information is </w:t>
      </w:r>
      <w:r w:rsidR="004D027B" w:rsidRPr="00677889">
        <w:rPr>
          <w:rFonts w:asciiTheme="minorHAnsi" w:hAnsiTheme="minorHAnsi"/>
          <w:szCs w:val="21"/>
        </w:rPr>
        <w:t xml:space="preserve">relevant, </w:t>
      </w:r>
      <w:r w:rsidRPr="00677889">
        <w:rPr>
          <w:rFonts w:asciiTheme="minorHAnsi" w:hAnsiTheme="minorHAnsi"/>
          <w:szCs w:val="21"/>
        </w:rPr>
        <w:t>clear and accessible.</w:t>
      </w:r>
    </w:p>
    <w:p w14:paraId="02BA3CE6" w14:textId="77777777" w:rsidR="00FC2F0B" w:rsidRPr="00677889" w:rsidRDefault="00FC2F0B" w:rsidP="002A11E0">
      <w:pPr>
        <w:pStyle w:val="ListParagraph"/>
        <w:numPr>
          <w:ilvl w:val="1"/>
          <w:numId w:val="10"/>
        </w:numPr>
        <w:spacing w:before="240"/>
        <w:ind w:left="567" w:hanging="567"/>
        <w:rPr>
          <w:rFonts w:asciiTheme="minorHAnsi" w:hAnsiTheme="minorHAnsi"/>
          <w:szCs w:val="21"/>
        </w:rPr>
      </w:pPr>
      <w:r w:rsidRPr="00677889">
        <w:rPr>
          <w:rFonts w:asciiTheme="minorHAnsi" w:hAnsiTheme="minorHAnsi"/>
          <w:szCs w:val="21"/>
        </w:rPr>
        <w:t>Admission and progression requirements and processes are fair, equitable and transparent.</w:t>
      </w:r>
    </w:p>
    <w:p w14:paraId="3DBEF71B" w14:textId="010C223D" w:rsidR="00FC2F0B" w:rsidRPr="00677889" w:rsidRDefault="00FC2F0B" w:rsidP="002A11E0">
      <w:pPr>
        <w:pStyle w:val="ListParagraph"/>
        <w:numPr>
          <w:ilvl w:val="1"/>
          <w:numId w:val="10"/>
        </w:numPr>
        <w:spacing w:before="240"/>
        <w:ind w:left="567" w:hanging="567"/>
        <w:rPr>
          <w:rFonts w:asciiTheme="minorHAnsi" w:hAnsiTheme="minorHAnsi"/>
          <w:szCs w:val="21"/>
        </w:rPr>
      </w:pPr>
      <w:r w:rsidRPr="00677889">
        <w:rPr>
          <w:rFonts w:asciiTheme="minorHAnsi" w:hAnsiTheme="minorHAnsi"/>
          <w:szCs w:val="21"/>
        </w:rPr>
        <w:t>Students have access to effective grievance and appeals processes.</w:t>
      </w:r>
    </w:p>
    <w:p w14:paraId="621A9F73" w14:textId="573CF944" w:rsidR="00FC2F0B" w:rsidRPr="00677889" w:rsidRDefault="00FC2F0B" w:rsidP="002A11E0">
      <w:pPr>
        <w:pStyle w:val="ListParagraph"/>
        <w:numPr>
          <w:ilvl w:val="1"/>
          <w:numId w:val="10"/>
        </w:numPr>
        <w:spacing w:before="240"/>
        <w:ind w:left="567" w:hanging="567"/>
        <w:rPr>
          <w:rFonts w:asciiTheme="minorHAnsi" w:hAnsiTheme="minorHAnsi"/>
          <w:szCs w:val="21"/>
        </w:rPr>
      </w:pPr>
      <w:r w:rsidRPr="00677889">
        <w:rPr>
          <w:rFonts w:asciiTheme="minorHAnsi" w:hAnsiTheme="minorHAnsi"/>
          <w:szCs w:val="21"/>
        </w:rPr>
        <w:t>The provider identifies and provides support to meet the academic learning needs of students.</w:t>
      </w:r>
    </w:p>
    <w:p w14:paraId="3263EB0D" w14:textId="26A57532" w:rsidR="00FC2F0B" w:rsidRPr="00677889" w:rsidRDefault="00FC2F0B" w:rsidP="002A11E0">
      <w:pPr>
        <w:pStyle w:val="ListParagraph"/>
        <w:numPr>
          <w:ilvl w:val="1"/>
          <w:numId w:val="10"/>
        </w:numPr>
        <w:spacing w:before="240"/>
        <w:ind w:left="567" w:hanging="567"/>
        <w:rPr>
          <w:rFonts w:asciiTheme="minorHAnsi" w:hAnsiTheme="minorHAnsi"/>
          <w:szCs w:val="21"/>
        </w:rPr>
      </w:pPr>
      <w:r w:rsidRPr="00677889">
        <w:rPr>
          <w:rFonts w:asciiTheme="minorHAnsi" w:hAnsiTheme="minorHAnsi"/>
          <w:szCs w:val="21"/>
        </w:rPr>
        <w:t>Students are informed of and have access to personal support services provided by qualified personnel.</w:t>
      </w:r>
    </w:p>
    <w:p w14:paraId="3E3D1742" w14:textId="40AB2E75" w:rsidR="00FC2F0B" w:rsidRPr="00677889" w:rsidRDefault="00FC2F0B" w:rsidP="002203FB">
      <w:pPr>
        <w:pStyle w:val="ListParagraph"/>
        <w:numPr>
          <w:ilvl w:val="1"/>
          <w:numId w:val="10"/>
        </w:numPr>
        <w:spacing w:before="240"/>
        <w:ind w:left="567" w:hanging="567"/>
        <w:rPr>
          <w:rFonts w:asciiTheme="minorHAnsi" w:hAnsiTheme="minorHAnsi"/>
          <w:szCs w:val="21"/>
        </w:rPr>
      </w:pPr>
      <w:r w:rsidRPr="00677889">
        <w:rPr>
          <w:rFonts w:asciiTheme="minorHAnsi" w:hAnsiTheme="minorHAnsi"/>
          <w:szCs w:val="21"/>
        </w:rPr>
        <w:t>Students are represented within the deliberative and decision making processes for the program.</w:t>
      </w:r>
    </w:p>
    <w:p w14:paraId="48B20808" w14:textId="7707901D" w:rsidR="009959E0" w:rsidRPr="00677889" w:rsidRDefault="009959E0" w:rsidP="00BB2ECB">
      <w:pPr>
        <w:pStyle w:val="ListParagraph"/>
        <w:numPr>
          <w:ilvl w:val="1"/>
          <w:numId w:val="10"/>
        </w:numPr>
        <w:spacing w:before="240"/>
        <w:ind w:left="567" w:hanging="567"/>
        <w:rPr>
          <w:rFonts w:asciiTheme="minorHAnsi" w:hAnsiTheme="minorHAnsi"/>
          <w:szCs w:val="21"/>
        </w:rPr>
      </w:pPr>
      <w:r w:rsidRPr="00677889">
        <w:rPr>
          <w:rFonts w:asciiTheme="minorHAnsi" w:hAnsiTheme="minorHAnsi"/>
          <w:szCs w:val="21"/>
        </w:rPr>
        <w:t>Equity and diversity principles are observed and promoted in the student experience.</w:t>
      </w:r>
    </w:p>
    <w:p w14:paraId="70EAF890" w14:textId="77777777" w:rsidR="00FC2F0B" w:rsidRPr="00677889" w:rsidRDefault="00FC2F0B" w:rsidP="00FC2F0B">
      <w:r w:rsidRPr="00677889">
        <w:br w:type="page"/>
      </w:r>
    </w:p>
    <w:p w14:paraId="014EAE78" w14:textId="77777777" w:rsidR="008C6F59" w:rsidRPr="00677889" w:rsidRDefault="008C6F59" w:rsidP="00FC2F0B"/>
    <w:p w14:paraId="4287D256" w14:textId="77777777" w:rsidR="009D2A30" w:rsidRPr="00677889" w:rsidRDefault="009D2A30" w:rsidP="00FC2F0B"/>
    <w:p w14:paraId="6F9D158A" w14:textId="77777777" w:rsidR="008C6F59" w:rsidRPr="00677889" w:rsidRDefault="008C6F59" w:rsidP="00FC2F0B"/>
    <w:p w14:paraId="785054CD" w14:textId="77777777" w:rsidR="008C6F59" w:rsidRPr="00677889" w:rsidRDefault="008C6F59" w:rsidP="00FC2F0B"/>
    <w:tbl>
      <w:tblPr>
        <w:tblStyle w:val="TableGrid"/>
        <w:tblW w:w="9240" w:type="dxa"/>
        <w:tblBorders>
          <w:top w:val="thinThickThinSmallGap" w:sz="24" w:space="0" w:color="EE7700"/>
          <w:left w:val="thinThickThinSmallGap" w:sz="24" w:space="0" w:color="EE7700"/>
          <w:bottom w:val="thinThickThinSmallGap" w:sz="24" w:space="0" w:color="EE7700"/>
          <w:right w:val="thinThickThinSmallGap" w:sz="24" w:space="0" w:color="EE7700"/>
          <w:insideH w:val="thinThickThinSmallGap" w:sz="24" w:space="0" w:color="EE7700"/>
          <w:insideV w:val="thinThickThinSmallGap" w:sz="24" w:space="0" w:color="EE7700"/>
        </w:tblBorders>
        <w:shd w:val="clear" w:color="auto" w:fill="FFE6CD"/>
        <w:tblLook w:val="04A0" w:firstRow="1" w:lastRow="0" w:firstColumn="1" w:lastColumn="0" w:noHBand="0" w:noVBand="1"/>
      </w:tblPr>
      <w:tblGrid>
        <w:gridCol w:w="9240"/>
      </w:tblGrid>
      <w:tr w:rsidR="00CA21AE" w:rsidRPr="00677889" w14:paraId="4A61B6F4" w14:textId="77777777" w:rsidTr="00CA21AE">
        <w:tc>
          <w:tcPr>
            <w:tcW w:w="9240" w:type="dxa"/>
            <w:shd w:val="clear" w:color="auto" w:fill="FFE6CD"/>
          </w:tcPr>
          <w:p w14:paraId="3CD23E79" w14:textId="77777777" w:rsidR="00FC2F0B" w:rsidRPr="00677889" w:rsidRDefault="00FC2F0B" w:rsidP="006702C1">
            <w:pPr>
              <w:pStyle w:val="Heading2"/>
              <w:spacing w:before="240" w:line="300" w:lineRule="auto"/>
              <w:ind w:left="255"/>
              <w:outlineLvl w:val="1"/>
              <w:rPr>
                <w:color w:val="1D7998" w:themeColor="accent2" w:themeShade="BF"/>
                <w:sz w:val="22"/>
                <w:szCs w:val="22"/>
              </w:rPr>
            </w:pPr>
            <w:bookmarkStart w:id="60" w:name="_Toc446242273"/>
            <w:r w:rsidRPr="00677889">
              <w:rPr>
                <w:color w:val="1D7998" w:themeColor="accent2" w:themeShade="BF"/>
                <w:sz w:val="22"/>
                <w:szCs w:val="22"/>
              </w:rPr>
              <w:t>STANDARD 5 – STUDENT ASSESSMENT</w:t>
            </w:r>
            <w:bookmarkEnd w:id="60"/>
          </w:p>
          <w:p w14:paraId="68B3877D" w14:textId="77777777" w:rsidR="00FC2F0B" w:rsidRPr="00677889" w:rsidRDefault="00FC2F0B" w:rsidP="006702C1">
            <w:pPr>
              <w:spacing w:before="240" w:line="300" w:lineRule="auto"/>
              <w:ind w:left="255"/>
              <w:rPr>
                <w:rFonts w:asciiTheme="minorHAnsi" w:hAnsiTheme="minorHAnsi"/>
                <w:color w:val="1D7998" w:themeColor="accent2" w:themeShade="BF"/>
                <w:sz w:val="28"/>
                <w:szCs w:val="28"/>
              </w:rPr>
            </w:pPr>
            <w:r w:rsidRPr="00677889">
              <w:rPr>
                <w:rFonts w:asciiTheme="minorHAnsi" w:hAnsiTheme="minorHAnsi"/>
                <w:color w:val="1D7998" w:themeColor="accent2" w:themeShade="BF"/>
                <w:sz w:val="22"/>
                <w:szCs w:val="22"/>
              </w:rPr>
              <w:t>Student assessment is comprehensive, fair, valid and reliable.</w:t>
            </w:r>
          </w:p>
        </w:tc>
      </w:tr>
    </w:tbl>
    <w:p w14:paraId="21B481BD" w14:textId="77777777" w:rsidR="00BC46F2" w:rsidRPr="00677889" w:rsidRDefault="00BC46F2" w:rsidP="00BC46F2">
      <w:pPr>
        <w:pStyle w:val="BodyText"/>
      </w:pPr>
      <w:bookmarkStart w:id="61" w:name="_Toc435716087"/>
      <w:bookmarkStart w:id="62" w:name="_Toc435728903"/>
    </w:p>
    <w:p w14:paraId="24E1F3FF" w14:textId="77777777" w:rsidR="00FC2F0B" w:rsidRPr="00677889" w:rsidRDefault="00FC2F0B" w:rsidP="00D56D64">
      <w:pPr>
        <w:pStyle w:val="Heading3"/>
        <w:keepLines/>
        <w:widowControl/>
        <w:numPr>
          <w:ilvl w:val="0"/>
          <w:numId w:val="10"/>
        </w:numPr>
        <w:spacing w:before="240" w:after="0" w:line="300" w:lineRule="auto"/>
      </w:pPr>
      <w:bookmarkStart w:id="63" w:name="_Toc437248415"/>
      <w:bookmarkStart w:id="64" w:name="_Toc444178126"/>
      <w:bookmarkStart w:id="65" w:name="_Toc446242274"/>
      <w:r w:rsidRPr="00677889">
        <w:t>Criteria</w:t>
      </w:r>
      <w:bookmarkEnd w:id="61"/>
      <w:bookmarkEnd w:id="62"/>
      <w:bookmarkEnd w:id="63"/>
      <w:bookmarkEnd w:id="64"/>
      <w:bookmarkEnd w:id="65"/>
    </w:p>
    <w:p w14:paraId="0B5A4A4B" w14:textId="174A1AC9" w:rsidR="00FC2F0B" w:rsidRPr="00677889" w:rsidRDefault="00FC2F0B" w:rsidP="00293CA8">
      <w:pPr>
        <w:pStyle w:val="ListParagraph"/>
        <w:numPr>
          <w:ilvl w:val="1"/>
          <w:numId w:val="30"/>
        </w:numPr>
        <w:spacing w:before="240"/>
        <w:ind w:left="567" w:hanging="567"/>
        <w:rPr>
          <w:rFonts w:asciiTheme="minorHAnsi" w:hAnsiTheme="minorHAnsi"/>
          <w:szCs w:val="21"/>
        </w:rPr>
      </w:pPr>
      <w:r w:rsidRPr="00677889">
        <w:rPr>
          <w:rFonts w:asciiTheme="minorHAnsi" w:hAnsiTheme="minorHAnsi"/>
          <w:szCs w:val="21"/>
        </w:rPr>
        <w:t>There is a clear relationship between learning outcomes and student assessment strategies.</w:t>
      </w:r>
    </w:p>
    <w:p w14:paraId="21E0CBC1" w14:textId="10F23C68" w:rsidR="00FC2F0B" w:rsidRPr="00677889" w:rsidRDefault="00FC2F0B" w:rsidP="00293CA8">
      <w:pPr>
        <w:pStyle w:val="ListParagraph"/>
        <w:numPr>
          <w:ilvl w:val="1"/>
          <w:numId w:val="30"/>
        </w:numPr>
        <w:spacing w:before="240"/>
        <w:ind w:left="567" w:hanging="567"/>
        <w:rPr>
          <w:rFonts w:asciiTheme="minorHAnsi" w:hAnsiTheme="minorHAnsi"/>
          <w:szCs w:val="21"/>
        </w:rPr>
      </w:pPr>
      <w:r w:rsidRPr="00677889">
        <w:rPr>
          <w:rFonts w:asciiTheme="minorHAnsi" w:hAnsiTheme="minorHAnsi"/>
          <w:szCs w:val="21"/>
        </w:rPr>
        <w:t xml:space="preserve">The scope of student assessment covers all learning outcomes and competencies and </w:t>
      </w:r>
      <w:r w:rsidR="00EB29ED" w:rsidRPr="00677889">
        <w:rPr>
          <w:rFonts w:asciiTheme="minorHAnsi" w:hAnsiTheme="minorHAnsi"/>
          <w:szCs w:val="21"/>
        </w:rPr>
        <w:t xml:space="preserve">is </w:t>
      </w:r>
      <w:r w:rsidRPr="00677889">
        <w:rPr>
          <w:rFonts w:asciiTheme="minorHAnsi" w:hAnsiTheme="minorHAnsi"/>
          <w:szCs w:val="21"/>
        </w:rPr>
        <w:t>clearly mapped to the relevant chiropractic competency standards and the assessment strategies used.</w:t>
      </w:r>
    </w:p>
    <w:p w14:paraId="47F580E8" w14:textId="38041BC7" w:rsidR="00FC2F0B" w:rsidRPr="00677889" w:rsidRDefault="00FC2F0B" w:rsidP="00293CA8">
      <w:pPr>
        <w:pStyle w:val="ListParagraph"/>
        <w:numPr>
          <w:ilvl w:val="1"/>
          <w:numId w:val="30"/>
        </w:numPr>
        <w:spacing w:before="240"/>
        <w:ind w:left="567" w:hanging="567"/>
        <w:rPr>
          <w:rFonts w:asciiTheme="minorHAnsi" w:hAnsiTheme="minorHAnsi"/>
          <w:szCs w:val="21"/>
        </w:rPr>
      </w:pPr>
      <w:r w:rsidRPr="00677889">
        <w:rPr>
          <w:rFonts w:asciiTheme="minorHAnsi" w:hAnsiTheme="minorHAnsi"/>
          <w:szCs w:val="21"/>
        </w:rPr>
        <w:t>Multiple validated assessment tools, modes and sampling are used including direct observation in the clinical setting.</w:t>
      </w:r>
    </w:p>
    <w:p w14:paraId="305F1D4C" w14:textId="77777777" w:rsidR="00FC2F0B" w:rsidRPr="00677889" w:rsidRDefault="00FC2F0B" w:rsidP="00293CA8">
      <w:pPr>
        <w:pStyle w:val="ListParagraph"/>
        <w:numPr>
          <w:ilvl w:val="1"/>
          <w:numId w:val="30"/>
        </w:numPr>
        <w:spacing w:before="240"/>
        <w:ind w:left="567" w:hanging="567"/>
        <w:rPr>
          <w:rFonts w:asciiTheme="minorHAnsi" w:hAnsiTheme="minorHAnsi"/>
          <w:szCs w:val="21"/>
        </w:rPr>
      </w:pPr>
      <w:r w:rsidRPr="00677889">
        <w:rPr>
          <w:rFonts w:asciiTheme="minorHAnsi" w:hAnsiTheme="minorHAnsi"/>
          <w:szCs w:val="21"/>
        </w:rPr>
        <w:t>Program management and co-ordination, including moderation procedures</w:t>
      </w:r>
      <w:r w:rsidR="00EB29ED" w:rsidRPr="00677889">
        <w:rPr>
          <w:rFonts w:asciiTheme="minorHAnsi" w:hAnsiTheme="minorHAnsi"/>
          <w:szCs w:val="21"/>
        </w:rPr>
        <w:t>,</w:t>
      </w:r>
      <w:r w:rsidRPr="00677889">
        <w:rPr>
          <w:rFonts w:asciiTheme="minorHAnsi" w:hAnsiTheme="minorHAnsi"/>
          <w:szCs w:val="21"/>
        </w:rPr>
        <w:t xml:space="preserve"> ensure consistent and appropriate assessment and feedback to students.</w:t>
      </w:r>
    </w:p>
    <w:p w14:paraId="4BF3BE5B" w14:textId="10AA6B66" w:rsidR="00FC2F0B" w:rsidRPr="00677889" w:rsidRDefault="00FC2F0B" w:rsidP="00293CA8">
      <w:pPr>
        <w:pStyle w:val="ListParagraph"/>
        <w:numPr>
          <w:ilvl w:val="1"/>
          <w:numId w:val="30"/>
        </w:numPr>
        <w:spacing w:before="240"/>
        <w:ind w:left="567" w:hanging="567"/>
        <w:rPr>
          <w:rFonts w:asciiTheme="minorHAnsi" w:hAnsiTheme="minorHAnsi"/>
          <w:szCs w:val="21"/>
        </w:rPr>
      </w:pPr>
      <w:r w:rsidRPr="00677889">
        <w:rPr>
          <w:rFonts w:asciiTheme="minorHAnsi" w:hAnsiTheme="minorHAnsi"/>
          <w:szCs w:val="21"/>
        </w:rPr>
        <w:t>Both formative and summative assessment types and tasks are used across the program to enhance individual and collective learning as well as inform student progression.</w:t>
      </w:r>
    </w:p>
    <w:p w14:paraId="60DA896A" w14:textId="77777777" w:rsidR="00FC2F0B" w:rsidRPr="00677889" w:rsidRDefault="00FC2F0B" w:rsidP="00293CA8">
      <w:pPr>
        <w:pStyle w:val="ListParagraph"/>
        <w:numPr>
          <w:ilvl w:val="1"/>
          <w:numId w:val="30"/>
        </w:numPr>
        <w:spacing w:before="240"/>
        <w:ind w:left="567" w:hanging="567"/>
        <w:rPr>
          <w:rFonts w:asciiTheme="minorHAnsi" w:hAnsiTheme="minorHAnsi"/>
          <w:szCs w:val="21"/>
        </w:rPr>
      </w:pPr>
      <w:r w:rsidRPr="00677889">
        <w:rPr>
          <w:rFonts w:asciiTheme="minorHAnsi" w:hAnsiTheme="minorHAnsi"/>
          <w:szCs w:val="21"/>
        </w:rPr>
        <w:t>Suitably qualified and experienced staff assess students</w:t>
      </w:r>
      <w:r w:rsidR="00DB2498" w:rsidRPr="00677889">
        <w:rPr>
          <w:rFonts w:asciiTheme="minorHAnsi" w:hAnsiTheme="minorHAnsi"/>
          <w:szCs w:val="21"/>
        </w:rPr>
        <w:t xml:space="preserve">, </w:t>
      </w:r>
      <w:r w:rsidR="00175DA2" w:rsidRPr="00677889">
        <w:rPr>
          <w:rFonts w:asciiTheme="minorHAnsi" w:hAnsiTheme="minorHAnsi"/>
          <w:szCs w:val="21"/>
        </w:rPr>
        <w:t>with external input</w:t>
      </w:r>
      <w:r w:rsidR="00DB2498" w:rsidRPr="00677889">
        <w:rPr>
          <w:rFonts w:asciiTheme="minorHAnsi" w:hAnsiTheme="minorHAnsi"/>
          <w:szCs w:val="21"/>
        </w:rPr>
        <w:t xml:space="preserve"> in the final year.</w:t>
      </w:r>
    </w:p>
    <w:p w14:paraId="3AD697FA" w14:textId="77777777" w:rsidR="00E766C0" w:rsidRPr="00677889" w:rsidRDefault="00E766C0" w:rsidP="000B51F0">
      <w:pPr>
        <w:pStyle w:val="Heading1"/>
        <w:rPr>
          <w:lang w:val="en-US"/>
        </w:rPr>
        <w:sectPr w:rsidR="00E766C0" w:rsidRPr="00677889" w:rsidSect="00E766C0">
          <w:headerReference w:type="even" r:id="rId26"/>
          <w:headerReference w:type="default" r:id="rId27"/>
          <w:headerReference w:type="first" r:id="rId28"/>
          <w:footerReference w:type="first" r:id="rId29"/>
          <w:type w:val="continuous"/>
          <w:pgSz w:w="11907" w:h="16840" w:code="9"/>
          <w:pgMar w:top="1440" w:right="1440" w:bottom="1440" w:left="1440" w:header="720" w:footer="720" w:gutter="0"/>
          <w:cols w:space="720"/>
          <w:docGrid w:linePitch="360"/>
        </w:sectPr>
      </w:pPr>
    </w:p>
    <w:p w14:paraId="55911DF2" w14:textId="7D5E36B7" w:rsidR="00624805" w:rsidRPr="00677889" w:rsidRDefault="00624805" w:rsidP="00624805">
      <w:pPr>
        <w:pStyle w:val="Heading1"/>
        <w:rPr>
          <w:lang w:val="en-US"/>
        </w:rPr>
      </w:pPr>
      <w:bookmarkStart w:id="66" w:name="_Toc446242275"/>
      <w:r w:rsidRPr="00677889">
        <w:rPr>
          <w:lang w:val="en-US"/>
        </w:rPr>
        <w:lastRenderedPageBreak/>
        <w:t>COMPETENCY STANDARDS</w:t>
      </w:r>
      <w:bookmarkEnd w:id="66"/>
      <w:r w:rsidRPr="00677889">
        <w:rPr>
          <w:lang w:val="en-US"/>
        </w:rPr>
        <w:t xml:space="preserve"> </w:t>
      </w:r>
      <w:r w:rsidR="00D00EA6" w:rsidRPr="00677889">
        <w:rPr>
          <w:lang w:val="en-US"/>
        </w:rPr>
        <w:t xml:space="preserve">FOR GRADUATING CHIROPRACTORS </w:t>
      </w:r>
    </w:p>
    <w:p w14:paraId="3DCCE793" w14:textId="6479E9D3" w:rsidR="00624805" w:rsidRPr="00677889" w:rsidRDefault="006325C2" w:rsidP="00624805">
      <w:pPr>
        <w:pStyle w:val="BodyText"/>
        <w:rPr>
          <w:lang w:val="en-US"/>
        </w:rPr>
        <w:sectPr w:rsidR="00624805" w:rsidRPr="00677889" w:rsidSect="00D14A79">
          <w:pgSz w:w="16840" w:h="11907" w:orient="landscape" w:code="9"/>
          <w:pgMar w:top="1440" w:right="1440" w:bottom="1440" w:left="1440" w:header="720" w:footer="720" w:gutter="0"/>
          <w:cols w:space="720"/>
          <w:docGrid w:linePitch="360"/>
        </w:sectPr>
      </w:pPr>
      <w:r>
        <w:rPr>
          <w:noProof/>
          <w:lang w:eastAsia="en-AU"/>
        </w:rPr>
        <w:drawing>
          <wp:inline distT="0" distB="0" distL="0" distR="0" wp14:anchorId="340C2E47" wp14:editId="671C7D7E">
            <wp:extent cx="8867775" cy="265256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ig 4 competency standards model.png"/>
                    <pic:cNvPicPr/>
                  </pic:nvPicPr>
                  <pic:blipFill>
                    <a:blip r:embed="rId30"/>
                    <a:stretch>
                      <a:fillRect/>
                    </a:stretch>
                  </pic:blipFill>
                  <pic:spPr>
                    <a:xfrm>
                      <a:off x="0" y="0"/>
                      <a:ext cx="8882442" cy="2656956"/>
                    </a:xfrm>
                    <a:prstGeom prst="rect">
                      <a:avLst/>
                    </a:prstGeom>
                  </pic:spPr>
                </pic:pic>
              </a:graphicData>
            </a:graphic>
          </wp:inline>
        </w:drawing>
      </w:r>
      <w:r w:rsidR="00624805" w:rsidRPr="00677889">
        <w:rPr>
          <w:lang w:val="en-US"/>
        </w:rPr>
        <w:t xml:space="preserve">                                                                     </w:t>
      </w:r>
    </w:p>
    <w:p w14:paraId="78DCC8CB" w14:textId="77777777" w:rsidR="00624805" w:rsidRPr="00677889" w:rsidRDefault="00624805" w:rsidP="00BB2ECB">
      <w:pPr>
        <w:pStyle w:val="BodyText"/>
        <w:rPr>
          <w:lang w:val="en-US"/>
        </w:rPr>
      </w:pPr>
    </w:p>
    <w:p w14:paraId="490FFE25" w14:textId="77777777" w:rsidR="00624805" w:rsidRPr="00677889" w:rsidRDefault="00624805" w:rsidP="00BB2ECB">
      <w:pPr>
        <w:pStyle w:val="BodyText"/>
        <w:rPr>
          <w:lang w:val="en-US"/>
        </w:rPr>
      </w:pPr>
    </w:p>
    <w:p w14:paraId="0595A896" w14:textId="77777777" w:rsidR="00624805" w:rsidRPr="00677889" w:rsidRDefault="00624805" w:rsidP="0004685B">
      <w:pPr>
        <w:pStyle w:val="Heading2"/>
        <w:rPr>
          <w:lang w:val="en-US"/>
        </w:rPr>
      </w:pPr>
      <w:bookmarkStart w:id="67" w:name="_Toc435716090"/>
      <w:bookmarkStart w:id="68" w:name="_Toc435728906"/>
      <w:bookmarkStart w:id="69" w:name="_Toc437248418"/>
      <w:bookmarkStart w:id="70" w:name="_Toc446242277"/>
      <w:r w:rsidRPr="00677889">
        <w:rPr>
          <w:lang w:val="en-US"/>
        </w:rPr>
        <w:t>Competency Standards</w:t>
      </w:r>
      <w:bookmarkEnd w:id="67"/>
      <w:bookmarkEnd w:id="68"/>
      <w:bookmarkEnd w:id="69"/>
      <w:bookmarkEnd w:id="70"/>
    </w:p>
    <w:tbl>
      <w:tblPr>
        <w:tblStyle w:val="TableGrid"/>
        <w:tblW w:w="9579" w:type="dxa"/>
        <w:tblBorders>
          <w:top w:val="thinThickThinSmallGap" w:sz="24" w:space="0" w:color="DCE4F1" w:themeColor="accent5" w:themeTint="33"/>
          <w:left w:val="thinThickThinSmallGap" w:sz="24" w:space="0" w:color="DCE4F1" w:themeColor="accent5" w:themeTint="33"/>
          <w:bottom w:val="thinThickThinSmallGap" w:sz="24" w:space="0" w:color="DCE4F1" w:themeColor="accent5" w:themeTint="33"/>
          <w:right w:val="thinThickThinSmallGap" w:sz="24" w:space="0" w:color="DCE4F1" w:themeColor="accent5" w:themeTint="33"/>
          <w:insideH w:val="thinThickThinSmallGap" w:sz="24" w:space="0" w:color="DCE4F1" w:themeColor="accent5" w:themeTint="33"/>
          <w:insideV w:val="thinThickThinSmallGap" w:sz="24" w:space="0" w:color="DCE4F1" w:themeColor="accent5" w:themeTint="33"/>
        </w:tblBorders>
        <w:tblLook w:val="04A0" w:firstRow="1" w:lastRow="0" w:firstColumn="1" w:lastColumn="0" w:noHBand="0" w:noVBand="1"/>
      </w:tblPr>
      <w:tblGrid>
        <w:gridCol w:w="9240"/>
        <w:gridCol w:w="339"/>
      </w:tblGrid>
      <w:tr w:rsidR="00624805" w:rsidRPr="00677889" w14:paraId="505C6C3A" w14:textId="77777777" w:rsidTr="00624805">
        <w:trPr>
          <w:trHeight w:val="7344"/>
        </w:trPr>
        <w:tc>
          <w:tcPr>
            <w:tcW w:w="9579" w:type="dxa"/>
            <w:gridSpan w:val="2"/>
            <w:shd w:val="clear" w:color="auto" w:fill="DCE4F1" w:themeFill="accent5" w:themeFillTint="33"/>
          </w:tcPr>
          <w:p w14:paraId="59713F7C" w14:textId="77777777" w:rsidR="00624805" w:rsidRPr="00677889" w:rsidRDefault="00624805" w:rsidP="0004685B">
            <w:pPr>
              <w:pStyle w:val="BodyText"/>
              <w:spacing w:before="360" w:line="300" w:lineRule="auto"/>
              <w:ind w:left="255" w:right="261"/>
              <w:rPr>
                <w:b/>
                <w:color w:val="375992" w:themeColor="accent5" w:themeShade="BF"/>
                <w:sz w:val="24"/>
                <w:szCs w:val="24"/>
                <w:lang w:val="en-US"/>
              </w:rPr>
            </w:pPr>
            <w:r w:rsidRPr="00677889">
              <w:rPr>
                <w:b/>
                <w:color w:val="375992" w:themeColor="accent5" w:themeShade="BF"/>
                <w:sz w:val="24"/>
                <w:szCs w:val="24"/>
                <w:lang w:val="en-US"/>
              </w:rPr>
              <w:t>UNIVERSAL COMPETENCY 1 –</w:t>
            </w:r>
            <w:r w:rsidR="008C176B" w:rsidRPr="00677889">
              <w:rPr>
                <w:b/>
                <w:color w:val="375992" w:themeColor="accent5" w:themeShade="BF"/>
                <w:sz w:val="24"/>
                <w:szCs w:val="24"/>
                <w:lang w:val="en-US"/>
              </w:rPr>
              <w:t xml:space="preserve"> </w:t>
            </w:r>
            <w:r w:rsidRPr="00677889">
              <w:rPr>
                <w:b/>
                <w:color w:val="375992" w:themeColor="accent5" w:themeShade="BF"/>
                <w:sz w:val="24"/>
                <w:szCs w:val="24"/>
                <w:lang w:val="en-US"/>
              </w:rPr>
              <w:t>PRACTISING PROFESSIONALLY</w:t>
            </w:r>
          </w:p>
          <w:p w14:paraId="689D4C57" w14:textId="401C315C" w:rsidR="00624805" w:rsidRPr="00677889" w:rsidRDefault="00624805" w:rsidP="0004685B">
            <w:pPr>
              <w:pStyle w:val="BodyText"/>
              <w:spacing w:before="240" w:line="300" w:lineRule="auto"/>
              <w:ind w:left="255" w:right="261"/>
              <w:rPr>
                <w:color w:val="375992" w:themeColor="accent5" w:themeShade="BF"/>
                <w:sz w:val="24"/>
                <w:szCs w:val="24"/>
                <w:lang w:val="en-US"/>
              </w:rPr>
            </w:pPr>
            <w:r w:rsidRPr="00677889">
              <w:rPr>
                <w:color w:val="375992" w:themeColor="accent5" w:themeShade="BF"/>
                <w:sz w:val="24"/>
                <w:szCs w:val="24"/>
                <w:lang w:val="en-US"/>
              </w:rPr>
              <w:t xml:space="preserve">Practises professionally, ethically and legally with safety and efficacy </w:t>
            </w:r>
            <w:r w:rsidR="00FC6F58" w:rsidRPr="00677889">
              <w:rPr>
                <w:color w:val="375992" w:themeColor="accent5" w:themeShade="BF"/>
                <w:sz w:val="24"/>
                <w:szCs w:val="24"/>
                <w:lang w:val="en-US"/>
              </w:rPr>
              <w:t>with</w:t>
            </w:r>
            <w:r w:rsidRPr="00677889">
              <w:rPr>
                <w:color w:val="375992" w:themeColor="accent5" w:themeShade="BF"/>
                <w:sz w:val="24"/>
                <w:szCs w:val="24"/>
                <w:lang w:val="en-US"/>
              </w:rPr>
              <w:t xml:space="preserve"> the application of </w:t>
            </w:r>
            <w:r w:rsidR="00175DA2" w:rsidRPr="00677889">
              <w:rPr>
                <w:color w:val="375992" w:themeColor="accent5" w:themeShade="BF"/>
                <w:sz w:val="24"/>
                <w:szCs w:val="24"/>
                <w:lang w:val="en-US"/>
              </w:rPr>
              <w:t>evidence</w:t>
            </w:r>
            <w:r w:rsidR="00087A9A" w:rsidRPr="00677889">
              <w:rPr>
                <w:color w:val="375992" w:themeColor="accent5" w:themeShade="BF"/>
                <w:sz w:val="24"/>
                <w:szCs w:val="24"/>
                <w:lang w:val="en-US"/>
              </w:rPr>
              <w:t>-</w:t>
            </w:r>
            <w:r w:rsidR="00175DA2" w:rsidRPr="00677889">
              <w:rPr>
                <w:color w:val="375992" w:themeColor="accent5" w:themeShade="BF"/>
                <w:sz w:val="24"/>
                <w:szCs w:val="24"/>
                <w:lang w:val="en-US"/>
              </w:rPr>
              <w:t>based</w:t>
            </w:r>
            <w:r w:rsidRPr="00677889">
              <w:rPr>
                <w:color w:val="375992" w:themeColor="accent5" w:themeShade="BF"/>
                <w:sz w:val="24"/>
                <w:szCs w:val="24"/>
                <w:lang w:val="en-US"/>
              </w:rPr>
              <w:t xml:space="preserve"> practice as the primary consideration in all aspects of </w:t>
            </w:r>
            <w:r w:rsidR="006D4C8D" w:rsidRPr="00677889">
              <w:rPr>
                <w:color w:val="375992" w:themeColor="accent5" w:themeShade="BF"/>
                <w:sz w:val="24"/>
                <w:szCs w:val="24"/>
                <w:lang w:val="en-US"/>
              </w:rPr>
              <w:t>chiropractic practice</w:t>
            </w:r>
            <w:r w:rsidRPr="00677889">
              <w:rPr>
                <w:color w:val="375992" w:themeColor="accent5" w:themeShade="BF"/>
                <w:sz w:val="24"/>
                <w:szCs w:val="24"/>
                <w:lang w:val="en-US"/>
              </w:rPr>
              <w:t>.</w:t>
            </w:r>
          </w:p>
          <w:p w14:paraId="75868CB4" w14:textId="77777777" w:rsidR="00624805" w:rsidRPr="00677889" w:rsidRDefault="00624805" w:rsidP="0004685B">
            <w:pPr>
              <w:pStyle w:val="BodyText"/>
              <w:spacing w:before="240" w:line="300" w:lineRule="auto"/>
              <w:ind w:left="255" w:right="261"/>
              <w:rPr>
                <w:b/>
                <w:color w:val="375992" w:themeColor="accent5" w:themeShade="BF"/>
                <w:sz w:val="24"/>
                <w:szCs w:val="24"/>
                <w:lang w:val="en-US"/>
              </w:rPr>
            </w:pPr>
            <w:r w:rsidRPr="00677889">
              <w:rPr>
                <w:b/>
                <w:color w:val="375992" w:themeColor="accent5" w:themeShade="BF"/>
                <w:sz w:val="24"/>
                <w:szCs w:val="24"/>
                <w:lang w:val="en-US"/>
              </w:rPr>
              <w:t>UNIVERSAL COMPETENCY 2 –</w:t>
            </w:r>
            <w:r w:rsidR="008C176B" w:rsidRPr="00677889">
              <w:rPr>
                <w:b/>
                <w:color w:val="375992" w:themeColor="accent5" w:themeShade="BF"/>
                <w:sz w:val="24"/>
                <w:szCs w:val="24"/>
                <w:lang w:val="en-US"/>
              </w:rPr>
              <w:t xml:space="preserve"> </w:t>
            </w:r>
            <w:r w:rsidRPr="00677889">
              <w:rPr>
                <w:b/>
                <w:color w:val="375992" w:themeColor="accent5" w:themeShade="BF"/>
                <w:sz w:val="24"/>
                <w:szCs w:val="24"/>
                <w:lang w:val="en-US"/>
              </w:rPr>
              <w:t>COMMUNICATION, COLLABORATION AND LEADERSHIP</w:t>
            </w:r>
          </w:p>
          <w:p w14:paraId="45D0D332" w14:textId="6F5753B3" w:rsidR="00624805" w:rsidRPr="00677889" w:rsidRDefault="00624805" w:rsidP="0004685B">
            <w:pPr>
              <w:pStyle w:val="BodyText"/>
              <w:spacing w:before="240" w:line="300" w:lineRule="auto"/>
              <w:ind w:left="255" w:right="261"/>
              <w:rPr>
                <w:color w:val="375992" w:themeColor="accent5" w:themeShade="BF"/>
                <w:sz w:val="24"/>
                <w:szCs w:val="24"/>
                <w:lang w:val="en-US"/>
              </w:rPr>
            </w:pPr>
            <w:r w:rsidRPr="00677889">
              <w:rPr>
                <w:color w:val="375992" w:themeColor="accent5" w:themeShade="BF"/>
                <w:sz w:val="24"/>
                <w:szCs w:val="24"/>
                <w:lang w:val="en-US"/>
              </w:rPr>
              <w:t>Communicates and collaborates effectively at all times with patient</w:t>
            </w:r>
            <w:r w:rsidR="00D81D7A" w:rsidRPr="00677889">
              <w:rPr>
                <w:color w:val="375992" w:themeColor="accent5" w:themeShade="BF"/>
                <w:sz w:val="24"/>
                <w:szCs w:val="24"/>
                <w:lang w:val="en-US"/>
              </w:rPr>
              <w:t>s</w:t>
            </w:r>
            <w:r w:rsidRPr="00677889">
              <w:rPr>
                <w:color w:val="375992" w:themeColor="accent5" w:themeShade="BF"/>
                <w:sz w:val="24"/>
                <w:szCs w:val="24"/>
                <w:lang w:val="en-US"/>
              </w:rPr>
              <w:t xml:space="preserve"> and others.</w:t>
            </w:r>
            <w:r w:rsidRPr="00677889">
              <w:rPr>
                <w:color w:val="375992" w:themeColor="accent5" w:themeShade="BF"/>
                <w:sz w:val="24"/>
                <w:szCs w:val="24"/>
                <w:vertAlign w:val="superscript"/>
                <w:lang w:val="en-US"/>
              </w:rPr>
              <w:footnoteReference w:id="7"/>
            </w:r>
          </w:p>
          <w:p w14:paraId="7742FE1A" w14:textId="77777777" w:rsidR="00624805" w:rsidRPr="00677889" w:rsidRDefault="00624805" w:rsidP="0004685B">
            <w:pPr>
              <w:pStyle w:val="BodyText"/>
              <w:spacing w:before="240" w:line="300" w:lineRule="auto"/>
              <w:ind w:left="255" w:right="261"/>
              <w:rPr>
                <w:b/>
                <w:color w:val="375992" w:themeColor="accent5" w:themeShade="BF"/>
                <w:sz w:val="24"/>
                <w:szCs w:val="24"/>
                <w:lang w:val="en-US"/>
              </w:rPr>
            </w:pPr>
            <w:r w:rsidRPr="00677889">
              <w:rPr>
                <w:b/>
                <w:color w:val="375992" w:themeColor="accent5" w:themeShade="BF"/>
                <w:sz w:val="24"/>
                <w:szCs w:val="24"/>
                <w:lang w:val="en-US"/>
              </w:rPr>
              <w:t>PRACTICE COMPETENCY 3 – CLINICAL ASSESSMENT</w:t>
            </w:r>
          </w:p>
          <w:p w14:paraId="601B1C96" w14:textId="28810EE8" w:rsidR="00624805" w:rsidRPr="00677889" w:rsidRDefault="00D81D7A" w:rsidP="0004685B">
            <w:pPr>
              <w:pStyle w:val="BodyText"/>
              <w:spacing w:before="240" w:line="300" w:lineRule="auto"/>
              <w:ind w:left="255" w:right="261"/>
              <w:rPr>
                <w:color w:val="375992" w:themeColor="accent5" w:themeShade="BF"/>
                <w:sz w:val="24"/>
                <w:szCs w:val="24"/>
                <w:lang w:val="en-US"/>
              </w:rPr>
            </w:pPr>
            <w:r w:rsidRPr="00677889">
              <w:rPr>
                <w:color w:val="375992" w:themeColor="accent5" w:themeShade="BF"/>
                <w:sz w:val="24"/>
                <w:szCs w:val="24"/>
                <w:lang w:val="en-US"/>
              </w:rPr>
              <w:t>Understands patient</w:t>
            </w:r>
            <w:r w:rsidR="00624805" w:rsidRPr="00677889">
              <w:rPr>
                <w:color w:val="375992" w:themeColor="accent5" w:themeShade="BF"/>
                <w:sz w:val="24"/>
                <w:szCs w:val="24"/>
                <w:lang w:val="en-US"/>
              </w:rPr>
              <w:t>s</w:t>
            </w:r>
            <w:r w:rsidRPr="00677889">
              <w:rPr>
                <w:color w:val="375992" w:themeColor="accent5" w:themeShade="BF"/>
                <w:sz w:val="24"/>
                <w:szCs w:val="24"/>
                <w:lang w:val="en-US"/>
              </w:rPr>
              <w:t>’</w:t>
            </w:r>
            <w:r w:rsidR="00624805" w:rsidRPr="00677889">
              <w:rPr>
                <w:color w:val="375992" w:themeColor="accent5" w:themeShade="BF"/>
                <w:sz w:val="24"/>
                <w:szCs w:val="24"/>
                <w:lang w:val="en-US"/>
              </w:rPr>
              <w:t xml:space="preserve"> health status and related circumstances</w:t>
            </w:r>
            <w:r w:rsidR="00624805" w:rsidRPr="00677889">
              <w:rPr>
                <w:color w:val="375992" w:themeColor="accent5" w:themeShade="BF"/>
                <w:sz w:val="24"/>
                <w:szCs w:val="24"/>
                <w:vertAlign w:val="superscript"/>
                <w:lang w:val="en-US"/>
              </w:rPr>
              <w:footnoteReference w:id="8"/>
            </w:r>
            <w:r w:rsidR="00624805" w:rsidRPr="00677889">
              <w:rPr>
                <w:color w:val="375992" w:themeColor="accent5" w:themeShade="BF"/>
                <w:sz w:val="24"/>
                <w:szCs w:val="24"/>
                <w:lang w:val="en-US"/>
              </w:rPr>
              <w:t>; critically analysing these and form</w:t>
            </w:r>
            <w:r w:rsidR="00087A9A" w:rsidRPr="00677889">
              <w:rPr>
                <w:color w:val="375992" w:themeColor="accent5" w:themeShade="BF"/>
                <w:sz w:val="24"/>
                <w:szCs w:val="24"/>
                <w:lang w:val="en-US"/>
              </w:rPr>
              <w:t>s</w:t>
            </w:r>
            <w:r w:rsidR="00624805" w:rsidRPr="00677889">
              <w:rPr>
                <w:color w:val="375992" w:themeColor="accent5" w:themeShade="BF"/>
                <w:sz w:val="24"/>
                <w:szCs w:val="24"/>
                <w:lang w:val="en-US"/>
              </w:rPr>
              <w:t xml:space="preserve"> a clinical impression.</w:t>
            </w:r>
          </w:p>
          <w:p w14:paraId="0B248B20" w14:textId="77777777" w:rsidR="00624805" w:rsidRPr="00677889" w:rsidRDefault="00624805" w:rsidP="0004685B">
            <w:pPr>
              <w:pStyle w:val="BodyText"/>
              <w:spacing w:before="240" w:line="300" w:lineRule="auto"/>
              <w:ind w:left="255" w:right="261"/>
              <w:rPr>
                <w:b/>
                <w:color w:val="375992" w:themeColor="accent5" w:themeShade="BF"/>
                <w:sz w:val="24"/>
                <w:szCs w:val="24"/>
                <w:lang w:val="en-US"/>
              </w:rPr>
            </w:pPr>
            <w:r w:rsidRPr="00677889">
              <w:rPr>
                <w:b/>
                <w:color w:val="375992" w:themeColor="accent5" w:themeShade="BF"/>
                <w:sz w:val="24"/>
                <w:szCs w:val="24"/>
                <w:lang w:val="en-US"/>
              </w:rPr>
              <w:t>PRACTICE COMPETENCY 4 – PLANNING CARE</w:t>
            </w:r>
          </w:p>
          <w:p w14:paraId="13F9FBEE" w14:textId="531F96DD" w:rsidR="00624805" w:rsidRPr="00677889" w:rsidRDefault="00624805" w:rsidP="0004685B">
            <w:pPr>
              <w:pStyle w:val="BodyText"/>
              <w:spacing w:before="240" w:line="300" w:lineRule="auto"/>
              <w:ind w:left="255" w:right="261"/>
              <w:rPr>
                <w:color w:val="375992" w:themeColor="accent5" w:themeShade="BF"/>
                <w:sz w:val="24"/>
                <w:szCs w:val="24"/>
                <w:lang w:val="en-US"/>
              </w:rPr>
            </w:pPr>
            <w:r w:rsidRPr="00677889">
              <w:rPr>
                <w:color w:val="375992" w:themeColor="accent5" w:themeShade="BF"/>
                <w:sz w:val="24"/>
                <w:szCs w:val="24"/>
                <w:lang w:val="en-US"/>
              </w:rPr>
              <w:t>Works in collaboration with patient</w:t>
            </w:r>
            <w:r w:rsidR="00087A9A" w:rsidRPr="00677889">
              <w:rPr>
                <w:color w:val="375992" w:themeColor="accent5" w:themeShade="BF"/>
                <w:sz w:val="24"/>
                <w:szCs w:val="24"/>
                <w:lang w:val="en-US"/>
              </w:rPr>
              <w:t>s</w:t>
            </w:r>
            <w:r w:rsidRPr="00677889">
              <w:rPr>
                <w:color w:val="375992" w:themeColor="accent5" w:themeShade="BF"/>
                <w:sz w:val="24"/>
                <w:szCs w:val="24"/>
                <w:lang w:val="en-US"/>
              </w:rPr>
              <w:t>, exploring the care options available and developing agreed, evidence</w:t>
            </w:r>
            <w:r w:rsidR="00087A9A" w:rsidRPr="00677889">
              <w:rPr>
                <w:color w:val="375992" w:themeColor="accent5" w:themeShade="BF"/>
                <w:sz w:val="24"/>
                <w:szCs w:val="24"/>
                <w:lang w:val="en-US"/>
              </w:rPr>
              <w:t>-</w:t>
            </w:r>
            <w:r w:rsidRPr="00677889">
              <w:rPr>
                <w:color w:val="375992" w:themeColor="accent5" w:themeShade="BF"/>
                <w:sz w:val="24"/>
                <w:szCs w:val="24"/>
                <w:lang w:val="en-US"/>
              </w:rPr>
              <w:t>based care and management plan</w:t>
            </w:r>
            <w:r w:rsidR="00087A9A" w:rsidRPr="00677889">
              <w:rPr>
                <w:color w:val="375992" w:themeColor="accent5" w:themeShade="BF"/>
                <w:sz w:val="24"/>
                <w:szCs w:val="24"/>
                <w:lang w:val="en-US"/>
              </w:rPr>
              <w:t>s</w:t>
            </w:r>
            <w:r w:rsidRPr="00677889">
              <w:rPr>
                <w:color w:val="375992" w:themeColor="accent5" w:themeShade="BF"/>
                <w:sz w:val="24"/>
                <w:szCs w:val="24"/>
                <w:lang w:val="en-US"/>
              </w:rPr>
              <w:t>.</w:t>
            </w:r>
          </w:p>
          <w:p w14:paraId="7842A0DD" w14:textId="77777777" w:rsidR="00624805" w:rsidRPr="00677889" w:rsidRDefault="00624805" w:rsidP="0004685B">
            <w:pPr>
              <w:pStyle w:val="BodyText"/>
              <w:spacing w:before="240" w:line="300" w:lineRule="auto"/>
              <w:ind w:left="255" w:right="261"/>
              <w:rPr>
                <w:b/>
                <w:color w:val="375992" w:themeColor="accent5" w:themeShade="BF"/>
                <w:sz w:val="24"/>
                <w:szCs w:val="24"/>
                <w:lang w:val="en-US"/>
              </w:rPr>
            </w:pPr>
            <w:r w:rsidRPr="00677889">
              <w:rPr>
                <w:b/>
                <w:color w:val="375992" w:themeColor="accent5" w:themeShade="BF"/>
                <w:sz w:val="24"/>
                <w:szCs w:val="24"/>
                <w:lang w:val="en-US"/>
              </w:rPr>
              <w:t xml:space="preserve">PRACTICE COMPETENCY 5 – IMPLEMENTING, MONITORING AND EVALUATING CARE </w:t>
            </w:r>
          </w:p>
          <w:p w14:paraId="2F224276" w14:textId="5187BB1B" w:rsidR="00624805" w:rsidRPr="00677889" w:rsidRDefault="00624805" w:rsidP="00087A9A">
            <w:pPr>
              <w:pStyle w:val="BodyText"/>
              <w:spacing w:before="240" w:after="360" w:line="300" w:lineRule="auto"/>
              <w:ind w:left="255"/>
              <w:rPr>
                <w:lang w:val="en-US"/>
              </w:rPr>
            </w:pPr>
            <w:r w:rsidRPr="00677889">
              <w:rPr>
                <w:color w:val="375992" w:themeColor="accent5" w:themeShade="BF"/>
                <w:sz w:val="24"/>
                <w:szCs w:val="24"/>
                <w:lang w:val="en-US"/>
              </w:rPr>
              <w:t xml:space="preserve">Coordinates the safe and effective implementation, monitoring and evaluation of </w:t>
            </w:r>
            <w:r w:rsidR="00087A9A" w:rsidRPr="00677889">
              <w:rPr>
                <w:color w:val="375992" w:themeColor="accent5" w:themeShade="BF"/>
                <w:sz w:val="24"/>
                <w:szCs w:val="24"/>
                <w:lang w:val="en-US"/>
              </w:rPr>
              <w:t>patient</w:t>
            </w:r>
            <w:r w:rsidRPr="00677889">
              <w:rPr>
                <w:color w:val="375992" w:themeColor="accent5" w:themeShade="BF"/>
                <w:sz w:val="24"/>
                <w:szCs w:val="24"/>
                <w:lang w:val="en-US"/>
              </w:rPr>
              <w:t>s</w:t>
            </w:r>
            <w:r w:rsidR="00087A9A" w:rsidRPr="00677889">
              <w:rPr>
                <w:color w:val="375992" w:themeColor="accent5" w:themeShade="BF"/>
                <w:sz w:val="24"/>
                <w:szCs w:val="24"/>
                <w:lang w:val="en-US"/>
              </w:rPr>
              <w:t>’</w:t>
            </w:r>
            <w:r w:rsidRPr="00677889">
              <w:rPr>
                <w:color w:val="375992" w:themeColor="accent5" w:themeShade="BF"/>
                <w:sz w:val="24"/>
                <w:szCs w:val="24"/>
                <w:lang w:val="en-US"/>
              </w:rPr>
              <w:t xml:space="preserve"> care </w:t>
            </w:r>
            <w:r w:rsidR="00FC6F58" w:rsidRPr="00677889">
              <w:rPr>
                <w:color w:val="375992" w:themeColor="accent5" w:themeShade="BF"/>
                <w:sz w:val="24"/>
                <w:szCs w:val="24"/>
                <w:lang w:val="en-US"/>
              </w:rPr>
              <w:t xml:space="preserve">and management </w:t>
            </w:r>
            <w:r w:rsidRPr="00677889">
              <w:rPr>
                <w:color w:val="375992" w:themeColor="accent5" w:themeShade="BF"/>
                <w:sz w:val="24"/>
                <w:szCs w:val="24"/>
                <w:lang w:val="en-US"/>
              </w:rPr>
              <w:t>plan</w:t>
            </w:r>
            <w:r w:rsidR="00087A9A" w:rsidRPr="00677889">
              <w:rPr>
                <w:color w:val="375992" w:themeColor="accent5" w:themeShade="BF"/>
                <w:sz w:val="24"/>
                <w:szCs w:val="24"/>
                <w:lang w:val="en-US"/>
              </w:rPr>
              <w:t>s</w:t>
            </w:r>
            <w:r w:rsidR="0004685B" w:rsidRPr="00677889">
              <w:rPr>
                <w:color w:val="375992" w:themeColor="accent5" w:themeShade="BF"/>
                <w:sz w:val="24"/>
                <w:szCs w:val="24"/>
                <w:lang w:val="en-US"/>
              </w:rPr>
              <w:t>.</w:t>
            </w:r>
          </w:p>
        </w:tc>
      </w:tr>
      <w:tr w:rsidR="00624805" w:rsidRPr="00677889" w14:paraId="07DA344F" w14:textId="77777777" w:rsidTr="006248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39" w:type="dxa"/>
        </w:trPr>
        <w:tc>
          <w:tcPr>
            <w:tcW w:w="9240" w:type="dxa"/>
            <w:tcBorders>
              <w:top w:val="thinThickThinSmallGap" w:sz="24" w:space="0" w:color="DCE4F1" w:themeColor="accent5" w:themeTint="33"/>
              <w:left w:val="thinThickThinSmallGap" w:sz="24" w:space="0" w:color="DCE4F1" w:themeColor="accent5" w:themeTint="33"/>
              <w:bottom w:val="thinThickThinSmallGap" w:sz="24" w:space="0" w:color="DCE4F1" w:themeColor="accent5" w:themeTint="33"/>
              <w:right w:val="thinThickThinSmallGap" w:sz="24" w:space="0" w:color="DCE4F1" w:themeColor="accent5" w:themeTint="33"/>
            </w:tcBorders>
            <w:shd w:val="clear" w:color="auto" w:fill="DCE4F1" w:themeFill="accent5" w:themeFillTint="33"/>
          </w:tcPr>
          <w:p w14:paraId="04B0D23A" w14:textId="77777777" w:rsidR="00624805" w:rsidRPr="00677889" w:rsidRDefault="00624805" w:rsidP="00624805">
            <w:pPr>
              <w:pStyle w:val="Heading2"/>
              <w:spacing w:before="240"/>
              <w:ind w:left="255"/>
              <w:outlineLvl w:val="1"/>
              <w:rPr>
                <w:color w:val="375992" w:themeColor="accent5" w:themeShade="BF"/>
                <w:sz w:val="22"/>
                <w:szCs w:val="22"/>
                <w:lang w:val="en-US"/>
              </w:rPr>
            </w:pPr>
            <w:bookmarkStart w:id="71" w:name="_Toc446242278"/>
            <w:r w:rsidRPr="00677889">
              <w:rPr>
                <w:color w:val="375992" w:themeColor="accent5" w:themeShade="BF"/>
                <w:sz w:val="22"/>
                <w:szCs w:val="22"/>
                <w:lang w:val="en-US"/>
              </w:rPr>
              <w:lastRenderedPageBreak/>
              <w:t>UNIVERSAL COMPETENCY 1 – PRACTISING PROFESSIONALLY</w:t>
            </w:r>
            <w:bookmarkEnd w:id="71"/>
          </w:p>
          <w:p w14:paraId="0E7DB6CB" w14:textId="372A48B1" w:rsidR="00624805" w:rsidRPr="00677889" w:rsidRDefault="00624805" w:rsidP="00FC6F58">
            <w:pPr>
              <w:pStyle w:val="BodyText"/>
              <w:spacing w:before="240" w:line="300" w:lineRule="auto"/>
              <w:ind w:left="258" w:right="261"/>
              <w:rPr>
                <w:sz w:val="24"/>
                <w:szCs w:val="24"/>
                <w:lang w:val="en-US"/>
              </w:rPr>
            </w:pPr>
            <w:r w:rsidRPr="00677889">
              <w:rPr>
                <w:color w:val="375992" w:themeColor="accent5" w:themeShade="BF"/>
                <w:sz w:val="22"/>
                <w:szCs w:val="22"/>
                <w:lang w:val="en-US"/>
              </w:rPr>
              <w:t xml:space="preserve">Practises professionally, ethically and legally with safety and efficacy </w:t>
            </w:r>
            <w:r w:rsidR="00FC6F58" w:rsidRPr="00677889">
              <w:rPr>
                <w:color w:val="375992" w:themeColor="accent5" w:themeShade="BF"/>
                <w:sz w:val="22"/>
                <w:szCs w:val="22"/>
                <w:lang w:val="en-US"/>
              </w:rPr>
              <w:t>with</w:t>
            </w:r>
            <w:r w:rsidRPr="00677889">
              <w:rPr>
                <w:color w:val="375992" w:themeColor="accent5" w:themeShade="BF"/>
                <w:sz w:val="22"/>
                <w:szCs w:val="22"/>
                <w:lang w:val="en-US"/>
              </w:rPr>
              <w:t xml:space="preserve"> the application of </w:t>
            </w:r>
            <w:r w:rsidR="00175DA2" w:rsidRPr="00677889">
              <w:rPr>
                <w:color w:val="375992" w:themeColor="accent5" w:themeShade="BF"/>
                <w:sz w:val="22"/>
                <w:szCs w:val="22"/>
                <w:lang w:val="en-US"/>
              </w:rPr>
              <w:t>evidence</w:t>
            </w:r>
            <w:r w:rsidR="000C2A0F" w:rsidRPr="00677889">
              <w:rPr>
                <w:color w:val="375992" w:themeColor="accent5" w:themeShade="BF"/>
                <w:sz w:val="22"/>
                <w:szCs w:val="22"/>
                <w:lang w:val="en-US"/>
              </w:rPr>
              <w:t>-</w:t>
            </w:r>
            <w:r w:rsidR="00175DA2" w:rsidRPr="00677889">
              <w:rPr>
                <w:color w:val="375992" w:themeColor="accent5" w:themeShade="BF"/>
                <w:sz w:val="22"/>
                <w:szCs w:val="22"/>
                <w:lang w:val="en-US"/>
              </w:rPr>
              <w:t>based</w:t>
            </w:r>
            <w:r w:rsidRPr="00677889">
              <w:rPr>
                <w:color w:val="375992" w:themeColor="accent5" w:themeShade="BF"/>
                <w:sz w:val="22"/>
                <w:szCs w:val="22"/>
                <w:lang w:val="en-US"/>
              </w:rPr>
              <w:t xml:space="preserve"> practice as the primary consideration in all aspects of chiropractic practice.</w:t>
            </w:r>
          </w:p>
        </w:tc>
      </w:tr>
    </w:tbl>
    <w:p w14:paraId="591574C4" w14:textId="77777777" w:rsidR="00624805" w:rsidRPr="00677889" w:rsidRDefault="00624805" w:rsidP="00BB2ECB">
      <w:pPr>
        <w:pStyle w:val="BodyText"/>
        <w:rPr>
          <w:sz w:val="24"/>
          <w:szCs w:val="24"/>
          <w:lang w:val="en-US"/>
        </w:rPr>
      </w:pPr>
    </w:p>
    <w:tbl>
      <w:tblPr>
        <w:tblStyle w:val="TableGrid"/>
        <w:tblW w:w="935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830"/>
        <w:gridCol w:w="6526"/>
      </w:tblGrid>
      <w:tr w:rsidR="00624805" w:rsidRPr="00677889" w14:paraId="559164E8" w14:textId="77777777" w:rsidTr="00C41F6D">
        <w:trPr>
          <w:cantSplit/>
          <w:tblHeader/>
        </w:trPr>
        <w:tc>
          <w:tcPr>
            <w:tcW w:w="2830" w:type="dxa"/>
          </w:tcPr>
          <w:p w14:paraId="272D7AA4" w14:textId="77777777" w:rsidR="00624805" w:rsidRPr="00677889" w:rsidRDefault="00624805" w:rsidP="00624805">
            <w:pPr>
              <w:pStyle w:val="Heading3"/>
              <w:numPr>
                <w:ilvl w:val="0"/>
                <w:numId w:val="0"/>
              </w:numPr>
              <w:spacing w:before="120" w:after="120"/>
              <w:jc w:val="center"/>
              <w:outlineLvl w:val="2"/>
              <w:rPr>
                <w:lang w:val="en-US"/>
              </w:rPr>
            </w:pPr>
            <w:bookmarkStart w:id="72" w:name="_Toc435716092"/>
            <w:bookmarkStart w:id="73" w:name="_Toc435728908"/>
            <w:bookmarkStart w:id="74" w:name="_Toc437248420"/>
            <w:bookmarkStart w:id="75" w:name="_Toc444178131"/>
            <w:bookmarkStart w:id="76" w:name="_Toc446242279"/>
            <w:r w:rsidRPr="00677889">
              <w:rPr>
                <w:lang w:val="en-US" w:eastAsia="en-US"/>
              </w:rPr>
              <w:t>ELEMENTS</w:t>
            </w:r>
            <w:bookmarkEnd w:id="72"/>
            <w:bookmarkEnd w:id="73"/>
            <w:bookmarkEnd w:id="74"/>
            <w:bookmarkEnd w:id="75"/>
            <w:bookmarkEnd w:id="76"/>
          </w:p>
        </w:tc>
        <w:tc>
          <w:tcPr>
            <w:tcW w:w="6526" w:type="dxa"/>
          </w:tcPr>
          <w:p w14:paraId="16C6AD96" w14:textId="77777777" w:rsidR="00624805" w:rsidRPr="00677889" w:rsidRDefault="00624805" w:rsidP="00624805">
            <w:pPr>
              <w:pStyle w:val="Heading3"/>
              <w:numPr>
                <w:ilvl w:val="0"/>
                <w:numId w:val="0"/>
              </w:numPr>
              <w:spacing w:before="120" w:after="120"/>
              <w:outlineLvl w:val="2"/>
              <w:rPr>
                <w:lang w:val="en-US"/>
              </w:rPr>
            </w:pPr>
            <w:r w:rsidRPr="00677889">
              <w:rPr>
                <w:lang w:val="en-US" w:eastAsia="en-US"/>
              </w:rPr>
              <w:tab/>
            </w:r>
            <w:bookmarkStart w:id="77" w:name="_Toc435716093"/>
            <w:bookmarkStart w:id="78" w:name="_Toc435728909"/>
            <w:bookmarkStart w:id="79" w:name="_Toc437248421"/>
            <w:bookmarkStart w:id="80" w:name="_Toc444178132"/>
            <w:bookmarkStart w:id="81" w:name="_Toc446242280"/>
            <w:r w:rsidRPr="00677889">
              <w:rPr>
                <w:lang w:val="en-US" w:eastAsia="en-US"/>
              </w:rPr>
              <w:t>PERFORMANCE</w:t>
            </w:r>
            <w:r w:rsidRPr="00677889">
              <w:rPr>
                <w:lang w:val="en-US"/>
              </w:rPr>
              <w:t xml:space="preserve"> CRITERIA</w:t>
            </w:r>
            <w:bookmarkEnd w:id="77"/>
            <w:bookmarkEnd w:id="78"/>
            <w:bookmarkEnd w:id="79"/>
            <w:bookmarkEnd w:id="80"/>
            <w:bookmarkEnd w:id="81"/>
          </w:p>
          <w:p w14:paraId="5EFE1C52" w14:textId="77777777" w:rsidR="00624805" w:rsidRPr="00677889" w:rsidRDefault="00624805" w:rsidP="00624805">
            <w:pPr>
              <w:pStyle w:val="BodyText"/>
              <w:spacing w:before="120" w:after="120"/>
              <w:rPr>
                <w:lang w:val="en-US"/>
              </w:rPr>
            </w:pPr>
            <w:r w:rsidRPr="00677889">
              <w:rPr>
                <w:lang w:val="en-US"/>
              </w:rPr>
              <w:t>On graduation, a chiropractor:</w:t>
            </w:r>
          </w:p>
        </w:tc>
      </w:tr>
      <w:tr w:rsidR="00624805" w:rsidRPr="00677889" w14:paraId="4D60CAD5" w14:textId="77777777" w:rsidTr="00C41F6D">
        <w:trPr>
          <w:cantSplit/>
        </w:trPr>
        <w:tc>
          <w:tcPr>
            <w:tcW w:w="2830" w:type="dxa"/>
          </w:tcPr>
          <w:p w14:paraId="45D9006E" w14:textId="77777777" w:rsidR="00624805" w:rsidRPr="00677889" w:rsidRDefault="00624805" w:rsidP="00624805">
            <w:pPr>
              <w:pStyle w:val="BodyText"/>
              <w:spacing w:before="120" w:after="120"/>
              <w:ind w:left="318" w:hanging="318"/>
              <w:rPr>
                <w:b/>
                <w:lang w:val="en-US"/>
              </w:rPr>
            </w:pPr>
            <w:r w:rsidRPr="00677889">
              <w:rPr>
                <w:b/>
                <w:lang w:val="en-US"/>
              </w:rPr>
              <w:t>1.1 Complies with legal and ethical requirements</w:t>
            </w:r>
          </w:p>
        </w:tc>
        <w:tc>
          <w:tcPr>
            <w:tcW w:w="6526" w:type="dxa"/>
          </w:tcPr>
          <w:p w14:paraId="30F2683C" w14:textId="77777777" w:rsidR="00CC64FE" w:rsidRPr="00677889" w:rsidRDefault="00CC64FE" w:rsidP="00035B22">
            <w:pPr>
              <w:pStyle w:val="BodyText"/>
              <w:numPr>
                <w:ilvl w:val="0"/>
                <w:numId w:val="29"/>
              </w:numPr>
              <w:spacing w:before="120" w:after="120"/>
              <w:rPr>
                <w:lang w:val="en-US"/>
              </w:rPr>
            </w:pPr>
            <w:r w:rsidRPr="00677889">
              <w:rPr>
                <w:lang w:val="en-US"/>
              </w:rPr>
              <w:t>Adheres to relevant legislation, common law, codes, standards and other policy regulating chiropractic conduct and practice.</w:t>
            </w:r>
          </w:p>
          <w:p w14:paraId="5E958B54" w14:textId="77777777" w:rsidR="00CC64FE" w:rsidRPr="00677889" w:rsidRDefault="00CC64FE" w:rsidP="00035B22">
            <w:pPr>
              <w:pStyle w:val="BodyText"/>
              <w:numPr>
                <w:ilvl w:val="0"/>
                <w:numId w:val="29"/>
              </w:numPr>
              <w:spacing w:before="120" w:after="120"/>
              <w:rPr>
                <w:lang w:val="en-US"/>
              </w:rPr>
            </w:pPr>
            <w:r w:rsidRPr="00677889">
              <w:rPr>
                <w:lang w:val="en-US"/>
              </w:rPr>
              <w:t>Applies the ethical principles of autonomy, beneficence, non-malfeasance and justice.</w:t>
            </w:r>
          </w:p>
          <w:p w14:paraId="2A0F04F0" w14:textId="77777777" w:rsidR="00CC64FE" w:rsidRPr="00677889" w:rsidRDefault="00CC64FE" w:rsidP="00035B22">
            <w:pPr>
              <w:pStyle w:val="BodyText"/>
              <w:numPr>
                <w:ilvl w:val="0"/>
                <w:numId w:val="29"/>
              </w:numPr>
              <w:spacing w:before="120" w:after="120"/>
              <w:rPr>
                <w:lang w:val="en-US"/>
              </w:rPr>
            </w:pPr>
            <w:r w:rsidRPr="00677889">
              <w:rPr>
                <w:lang w:val="en-US"/>
              </w:rPr>
              <w:t>Applies principles of confidentiality and privacy.</w:t>
            </w:r>
          </w:p>
          <w:p w14:paraId="1D3D227D" w14:textId="77777777" w:rsidR="00624805" w:rsidRPr="00677889" w:rsidRDefault="00CC64FE" w:rsidP="00035B22">
            <w:pPr>
              <w:pStyle w:val="BodyText"/>
              <w:numPr>
                <w:ilvl w:val="0"/>
                <w:numId w:val="29"/>
              </w:numPr>
              <w:spacing w:before="120" w:after="120"/>
              <w:rPr>
                <w:lang w:val="en-US"/>
              </w:rPr>
            </w:pPr>
            <w:r w:rsidRPr="00677889">
              <w:rPr>
                <w:lang w:val="en-US"/>
              </w:rPr>
              <w:t>Establishes and maintains professional relationships and boundaries.</w:t>
            </w:r>
          </w:p>
        </w:tc>
      </w:tr>
      <w:tr w:rsidR="00624805" w:rsidRPr="00677889" w14:paraId="1B296EBB" w14:textId="77777777" w:rsidTr="00C41F6D">
        <w:trPr>
          <w:cantSplit/>
        </w:trPr>
        <w:tc>
          <w:tcPr>
            <w:tcW w:w="2830" w:type="dxa"/>
          </w:tcPr>
          <w:p w14:paraId="15523AC7" w14:textId="77777777" w:rsidR="00624805" w:rsidRPr="00677889" w:rsidRDefault="00624805" w:rsidP="00624805">
            <w:pPr>
              <w:pStyle w:val="BodyText"/>
              <w:spacing w:before="120" w:after="120"/>
              <w:ind w:left="318" w:hanging="318"/>
              <w:rPr>
                <w:b/>
                <w:lang w:val="en-US"/>
              </w:rPr>
            </w:pPr>
            <w:r w:rsidRPr="00677889">
              <w:rPr>
                <w:b/>
                <w:lang w:val="en-US"/>
              </w:rPr>
              <w:t>1.2 Applies a patient-centred approach to practice</w:t>
            </w:r>
          </w:p>
        </w:tc>
        <w:tc>
          <w:tcPr>
            <w:tcW w:w="6526" w:type="dxa"/>
          </w:tcPr>
          <w:p w14:paraId="0EA59F44" w14:textId="77777777" w:rsidR="00CC64FE" w:rsidRPr="00677889" w:rsidRDefault="00CC64FE" w:rsidP="00035B22">
            <w:pPr>
              <w:pStyle w:val="BodyText"/>
              <w:numPr>
                <w:ilvl w:val="0"/>
                <w:numId w:val="29"/>
              </w:numPr>
              <w:spacing w:before="120" w:after="120"/>
              <w:rPr>
                <w:lang w:val="en-US"/>
              </w:rPr>
            </w:pPr>
            <w:r w:rsidRPr="00677889">
              <w:rPr>
                <w:lang w:val="en-US"/>
              </w:rPr>
              <w:t>Recognises and responds to diversity in the population, including but not limited to gender, age, religion, race, disability, socioeconomic status and sexual orientation.</w:t>
            </w:r>
          </w:p>
          <w:p w14:paraId="02DBA54F" w14:textId="5D98EA76" w:rsidR="00CC64FE" w:rsidRPr="00677889" w:rsidRDefault="00035B22" w:rsidP="00035B22">
            <w:pPr>
              <w:pStyle w:val="BodyText"/>
              <w:numPr>
                <w:ilvl w:val="0"/>
                <w:numId w:val="29"/>
              </w:numPr>
              <w:spacing w:before="120" w:after="120"/>
              <w:rPr>
                <w:lang w:val="en-US"/>
              </w:rPr>
            </w:pPr>
            <w:r w:rsidRPr="00677889">
              <w:rPr>
                <w:lang w:val="en-US"/>
              </w:rPr>
              <w:t xml:space="preserve">Recognises and responds to </w:t>
            </w:r>
            <w:r w:rsidR="00CC64FE" w:rsidRPr="00677889">
              <w:rPr>
                <w:lang w:val="en-US"/>
              </w:rPr>
              <w:t>the impact of culture, values, beliefs, education levels and life experiences on health status, health and help</w:t>
            </w:r>
            <w:r w:rsidR="000C2A0F" w:rsidRPr="00677889">
              <w:rPr>
                <w:lang w:val="en-US"/>
              </w:rPr>
              <w:t>-</w:t>
            </w:r>
            <w:r w:rsidR="00CC64FE" w:rsidRPr="00677889">
              <w:rPr>
                <w:lang w:val="en-US"/>
              </w:rPr>
              <w:t>seeking behaviours and maintenance of health.</w:t>
            </w:r>
          </w:p>
          <w:p w14:paraId="3F61849E" w14:textId="77777777" w:rsidR="00624805" w:rsidRPr="00677889" w:rsidRDefault="00CC64FE" w:rsidP="00035B22">
            <w:pPr>
              <w:pStyle w:val="BodyText"/>
              <w:numPr>
                <w:ilvl w:val="0"/>
                <w:numId w:val="29"/>
              </w:numPr>
              <w:spacing w:before="120" w:after="120"/>
              <w:rPr>
                <w:lang w:val="en-US"/>
              </w:rPr>
            </w:pPr>
            <w:r w:rsidRPr="00677889">
              <w:rPr>
                <w:lang w:val="en-US"/>
              </w:rPr>
              <w:t>Recognises and responds to a patient’s emotional response to their health status.</w:t>
            </w:r>
          </w:p>
        </w:tc>
      </w:tr>
      <w:tr w:rsidR="00624805" w:rsidRPr="00677889" w14:paraId="5D7F2620" w14:textId="77777777" w:rsidTr="00C41F6D">
        <w:trPr>
          <w:cantSplit/>
        </w:trPr>
        <w:tc>
          <w:tcPr>
            <w:tcW w:w="2830" w:type="dxa"/>
          </w:tcPr>
          <w:p w14:paraId="1F89B16F" w14:textId="4E679A11" w:rsidR="00624805" w:rsidRPr="00677889" w:rsidRDefault="00624805" w:rsidP="000C2A0F">
            <w:pPr>
              <w:pStyle w:val="BodyText"/>
              <w:spacing w:before="120" w:after="120"/>
              <w:ind w:left="318" w:hanging="318"/>
              <w:rPr>
                <w:b/>
                <w:lang w:val="en-US"/>
              </w:rPr>
            </w:pPr>
            <w:r w:rsidRPr="00677889">
              <w:rPr>
                <w:b/>
                <w:lang w:val="en-US"/>
              </w:rPr>
              <w:t xml:space="preserve">1.3 </w:t>
            </w:r>
            <w:r w:rsidR="00986E1A" w:rsidRPr="00677889">
              <w:rPr>
                <w:b/>
                <w:lang w:val="en-US"/>
              </w:rPr>
              <w:t>Applies an evidence</w:t>
            </w:r>
            <w:r w:rsidR="000C2A0F" w:rsidRPr="00677889">
              <w:rPr>
                <w:b/>
                <w:lang w:val="en-US"/>
              </w:rPr>
              <w:t>-</w:t>
            </w:r>
            <w:r w:rsidR="00986E1A" w:rsidRPr="00677889">
              <w:rPr>
                <w:b/>
                <w:lang w:val="en-US"/>
              </w:rPr>
              <w:t>based approach to practice</w:t>
            </w:r>
          </w:p>
        </w:tc>
        <w:tc>
          <w:tcPr>
            <w:tcW w:w="6526" w:type="dxa"/>
          </w:tcPr>
          <w:p w14:paraId="0068BD54" w14:textId="35DB92DA" w:rsidR="00624805" w:rsidRPr="00677889" w:rsidRDefault="00624805" w:rsidP="00624805">
            <w:pPr>
              <w:pStyle w:val="BodyText"/>
              <w:numPr>
                <w:ilvl w:val="0"/>
                <w:numId w:val="21"/>
              </w:numPr>
              <w:spacing w:before="120" w:after="120"/>
              <w:rPr>
                <w:lang w:val="en-US"/>
              </w:rPr>
            </w:pPr>
            <w:r w:rsidRPr="00677889">
              <w:rPr>
                <w:lang w:val="en-US"/>
              </w:rPr>
              <w:t>Uses an evidence-based approach in planning, deliver</w:t>
            </w:r>
            <w:r w:rsidR="000C2A0F" w:rsidRPr="00677889">
              <w:rPr>
                <w:lang w:val="en-US"/>
              </w:rPr>
              <w:t>ing</w:t>
            </w:r>
            <w:r w:rsidRPr="00677889">
              <w:rPr>
                <w:lang w:val="en-US"/>
              </w:rPr>
              <w:t xml:space="preserve"> and evaluati</w:t>
            </w:r>
            <w:r w:rsidR="000C2A0F" w:rsidRPr="00677889">
              <w:rPr>
                <w:lang w:val="en-US"/>
              </w:rPr>
              <w:t>ng</w:t>
            </w:r>
            <w:r w:rsidRPr="00677889">
              <w:rPr>
                <w:lang w:val="en-US"/>
              </w:rPr>
              <w:t xml:space="preserve"> care. </w:t>
            </w:r>
          </w:p>
          <w:p w14:paraId="4D33F65D" w14:textId="77777777" w:rsidR="00624805" w:rsidRPr="00677889" w:rsidRDefault="00624805" w:rsidP="00986E1A">
            <w:pPr>
              <w:pStyle w:val="BodyText"/>
              <w:numPr>
                <w:ilvl w:val="0"/>
                <w:numId w:val="21"/>
              </w:numPr>
              <w:spacing w:before="120" w:after="120"/>
              <w:rPr>
                <w:lang w:val="en-US"/>
              </w:rPr>
            </w:pPr>
            <w:r w:rsidRPr="00677889">
              <w:rPr>
                <w:lang w:val="en-US"/>
              </w:rPr>
              <w:t xml:space="preserve">Applies critical thinking and problem solving to all aspects of care. </w:t>
            </w:r>
          </w:p>
        </w:tc>
      </w:tr>
      <w:tr w:rsidR="00986E1A" w:rsidRPr="00677889" w14:paraId="2B904018" w14:textId="77777777" w:rsidTr="00C41F6D">
        <w:trPr>
          <w:cantSplit/>
        </w:trPr>
        <w:tc>
          <w:tcPr>
            <w:tcW w:w="2830" w:type="dxa"/>
          </w:tcPr>
          <w:p w14:paraId="71E687C4" w14:textId="77777777" w:rsidR="00986E1A" w:rsidRPr="00677889" w:rsidRDefault="00986E1A" w:rsidP="00624805">
            <w:pPr>
              <w:pStyle w:val="BodyText"/>
              <w:spacing w:before="120" w:after="120"/>
              <w:ind w:left="318" w:hanging="318"/>
              <w:rPr>
                <w:b/>
                <w:lang w:val="en-US"/>
              </w:rPr>
            </w:pPr>
            <w:r w:rsidRPr="00677889">
              <w:rPr>
                <w:b/>
                <w:lang w:val="en-US"/>
              </w:rPr>
              <w:lastRenderedPageBreak/>
              <w:t>1.4 Demonstrates professional integrity</w:t>
            </w:r>
          </w:p>
        </w:tc>
        <w:tc>
          <w:tcPr>
            <w:tcW w:w="6526" w:type="dxa"/>
          </w:tcPr>
          <w:p w14:paraId="33F36ADB" w14:textId="439D95DA" w:rsidR="00CC64FE" w:rsidRPr="00677889" w:rsidRDefault="00CC64FE" w:rsidP="00035B22">
            <w:pPr>
              <w:pStyle w:val="BodyText"/>
              <w:numPr>
                <w:ilvl w:val="0"/>
                <w:numId w:val="21"/>
              </w:numPr>
              <w:spacing w:before="120" w:after="120"/>
              <w:rPr>
                <w:lang w:val="en-US"/>
              </w:rPr>
            </w:pPr>
            <w:r w:rsidRPr="00677889">
              <w:rPr>
                <w:lang w:val="en-US"/>
              </w:rPr>
              <w:t>Demonstrates commitment to continuing professional development and lifelong learning.</w:t>
            </w:r>
          </w:p>
          <w:p w14:paraId="1C5728C1" w14:textId="0F8AB22D" w:rsidR="00CC64FE" w:rsidRPr="00677889" w:rsidRDefault="00CC64FE" w:rsidP="00035B22">
            <w:pPr>
              <w:pStyle w:val="BodyText"/>
              <w:numPr>
                <w:ilvl w:val="0"/>
                <w:numId w:val="21"/>
              </w:numPr>
              <w:spacing w:before="120" w:after="120"/>
              <w:rPr>
                <w:lang w:val="en-US"/>
              </w:rPr>
            </w:pPr>
            <w:r w:rsidRPr="00677889">
              <w:rPr>
                <w:lang w:val="en-US"/>
              </w:rPr>
              <w:t xml:space="preserve">Applies research skills to support professional development and </w:t>
            </w:r>
            <w:r w:rsidR="00035B22" w:rsidRPr="00677889">
              <w:rPr>
                <w:lang w:val="en-US"/>
              </w:rPr>
              <w:t>lifelong</w:t>
            </w:r>
            <w:r w:rsidRPr="00677889">
              <w:rPr>
                <w:lang w:val="en-US"/>
              </w:rPr>
              <w:t xml:space="preserve"> learning</w:t>
            </w:r>
            <w:r w:rsidR="00601D93" w:rsidRPr="00677889">
              <w:rPr>
                <w:lang w:val="en-US"/>
              </w:rPr>
              <w:t>.</w:t>
            </w:r>
          </w:p>
          <w:p w14:paraId="56C33BBE" w14:textId="56E223FD" w:rsidR="00CC64FE" w:rsidRPr="00677889" w:rsidRDefault="00CC64FE" w:rsidP="00035B22">
            <w:pPr>
              <w:pStyle w:val="BodyText"/>
              <w:numPr>
                <w:ilvl w:val="0"/>
                <w:numId w:val="21"/>
              </w:numPr>
              <w:spacing w:before="120" w:after="120"/>
              <w:rPr>
                <w:lang w:val="en-US"/>
              </w:rPr>
            </w:pPr>
            <w:r w:rsidRPr="00677889">
              <w:rPr>
                <w:lang w:val="en-US"/>
              </w:rPr>
              <w:t xml:space="preserve">Works within the bounds of </w:t>
            </w:r>
            <w:r w:rsidR="00837877" w:rsidRPr="00677889">
              <w:rPr>
                <w:lang w:val="en-US"/>
              </w:rPr>
              <w:t xml:space="preserve">their </w:t>
            </w:r>
            <w:r w:rsidRPr="00677889">
              <w:rPr>
                <w:lang w:val="en-US"/>
              </w:rPr>
              <w:t>professional expertise and competence and seeks professional support and peer review when necessary.</w:t>
            </w:r>
          </w:p>
          <w:p w14:paraId="1AD7DABE" w14:textId="3C8B913A" w:rsidR="00CC64FE" w:rsidRPr="00677889" w:rsidRDefault="00CC64FE" w:rsidP="00035B22">
            <w:pPr>
              <w:pStyle w:val="BodyText"/>
              <w:numPr>
                <w:ilvl w:val="0"/>
                <w:numId w:val="21"/>
              </w:numPr>
              <w:spacing w:before="120" w:after="120"/>
              <w:rPr>
                <w:lang w:val="en-US"/>
              </w:rPr>
            </w:pPr>
            <w:r w:rsidRPr="00677889">
              <w:rPr>
                <w:lang w:val="en-US"/>
              </w:rPr>
              <w:t>Accepts responsibility and accountability as a professional and member of the chiropractic profession.</w:t>
            </w:r>
          </w:p>
          <w:p w14:paraId="65EF6205" w14:textId="514F42A0" w:rsidR="00035B22" w:rsidRPr="00677889" w:rsidRDefault="00CC64FE" w:rsidP="000C2A0F">
            <w:pPr>
              <w:pStyle w:val="BodyText"/>
              <w:numPr>
                <w:ilvl w:val="0"/>
                <w:numId w:val="21"/>
              </w:numPr>
              <w:spacing w:before="120" w:after="120"/>
              <w:rPr>
                <w:lang w:val="en-US"/>
              </w:rPr>
            </w:pPr>
            <w:r w:rsidRPr="00677889">
              <w:rPr>
                <w:lang w:val="en-US"/>
              </w:rPr>
              <w:t>Applies principles of risk management and quality improvement to practice.</w:t>
            </w:r>
          </w:p>
        </w:tc>
      </w:tr>
      <w:tr w:rsidR="00035B22" w:rsidRPr="00677889" w14:paraId="0B22BA1C" w14:textId="77777777" w:rsidTr="00C41F6D">
        <w:trPr>
          <w:cantSplit/>
        </w:trPr>
        <w:tc>
          <w:tcPr>
            <w:tcW w:w="2830" w:type="dxa"/>
          </w:tcPr>
          <w:p w14:paraId="57F7B03C" w14:textId="77777777" w:rsidR="00035B22" w:rsidRPr="00677889" w:rsidRDefault="00035B22" w:rsidP="00035B22">
            <w:pPr>
              <w:pStyle w:val="BodyText"/>
              <w:ind w:left="318" w:hanging="318"/>
              <w:rPr>
                <w:b/>
                <w:lang w:val="en-US"/>
              </w:rPr>
            </w:pPr>
            <w:r w:rsidRPr="00677889">
              <w:rPr>
                <w:b/>
                <w:bCs/>
                <w:lang w:val="en-US"/>
              </w:rPr>
              <w:t>1.5 Demonstrates capacity for self-reflection</w:t>
            </w:r>
          </w:p>
        </w:tc>
        <w:tc>
          <w:tcPr>
            <w:tcW w:w="6526" w:type="dxa"/>
          </w:tcPr>
          <w:p w14:paraId="5430CDA1" w14:textId="067A9E2F" w:rsidR="00CC64FE" w:rsidRPr="00677889" w:rsidRDefault="00CC64FE" w:rsidP="00035B22">
            <w:pPr>
              <w:pStyle w:val="BodyText"/>
              <w:numPr>
                <w:ilvl w:val="0"/>
                <w:numId w:val="21"/>
              </w:numPr>
              <w:spacing w:before="120" w:after="120"/>
              <w:rPr>
                <w:lang w:val="en-US"/>
              </w:rPr>
            </w:pPr>
            <w:r w:rsidRPr="00677889">
              <w:rPr>
                <w:lang w:val="en-US"/>
              </w:rPr>
              <w:t>Demonstrates skill in self-assessment and critical evaluation of personal knowledge, skills and expertise</w:t>
            </w:r>
            <w:r w:rsidR="00922C4C" w:rsidRPr="00677889">
              <w:rPr>
                <w:lang w:val="en-US"/>
              </w:rPr>
              <w:t>, including</w:t>
            </w:r>
            <w:r w:rsidRPr="00677889">
              <w:rPr>
                <w:lang w:val="en-US"/>
              </w:rPr>
              <w:t xml:space="preserve"> awareness of personal bias and beliefs and how these might influence patient care</w:t>
            </w:r>
            <w:r w:rsidR="00922C4C" w:rsidRPr="00677889">
              <w:rPr>
                <w:lang w:val="en-US"/>
              </w:rPr>
              <w:t>;</w:t>
            </w:r>
            <w:r w:rsidRPr="00677889">
              <w:rPr>
                <w:lang w:val="en-US"/>
              </w:rPr>
              <w:t xml:space="preserve"> has appropriate strategies in place to deal with this.</w:t>
            </w:r>
          </w:p>
          <w:p w14:paraId="6F4D7F8A" w14:textId="6B3F3355" w:rsidR="00035B22" w:rsidRPr="00677889" w:rsidRDefault="00CC64FE" w:rsidP="00BD5DD0">
            <w:pPr>
              <w:pStyle w:val="BodyText"/>
              <w:numPr>
                <w:ilvl w:val="0"/>
                <w:numId w:val="21"/>
              </w:numPr>
              <w:spacing w:before="120" w:after="120"/>
              <w:rPr>
                <w:lang w:val="en-US"/>
              </w:rPr>
            </w:pPr>
            <w:r w:rsidRPr="00677889">
              <w:rPr>
                <w:lang w:val="en-US"/>
              </w:rPr>
              <w:t>Demonstrates awareness of factors affect</w:t>
            </w:r>
            <w:r w:rsidR="00922C4C" w:rsidRPr="00677889">
              <w:rPr>
                <w:lang w:val="en-US"/>
              </w:rPr>
              <w:t>ing</w:t>
            </w:r>
            <w:r w:rsidRPr="00677889">
              <w:rPr>
                <w:lang w:val="en-US"/>
              </w:rPr>
              <w:t xml:space="preserve"> </w:t>
            </w:r>
            <w:r w:rsidR="00BD5DD0" w:rsidRPr="00677889">
              <w:rPr>
                <w:lang w:val="en-US"/>
              </w:rPr>
              <w:t>their</w:t>
            </w:r>
            <w:r w:rsidRPr="00677889">
              <w:rPr>
                <w:lang w:val="en-US"/>
              </w:rPr>
              <w:t xml:space="preserve"> health and wellbeing, inclu</w:t>
            </w:r>
            <w:r w:rsidR="00035B22" w:rsidRPr="00677889">
              <w:rPr>
                <w:lang w:val="en-US"/>
              </w:rPr>
              <w:t>ding fatigue, stress management</w:t>
            </w:r>
            <w:r w:rsidR="00DF2156" w:rsidRPr="00677889">
              <w:rPr>
                <w:lang w:val="en-US"/>
              </w:rPr>
              <w:t xml:space="preserve">, infection control and </w:t>
            </w:r>
            <w:r w:rsidRPr="00677889">
              <w:rPr>
                <w:lang w:val="en-US"/>
              </w:rPr>
              <w:t>disease prevention</w:t>
            </w:r>
            <w:r w:rsidR="00922C4C" w:rsidRPr="00677889">
              <w:rPr>
                <w:lang w:val="en-US"/>
              </w:rPr>
              <w:t>,</w:t>
            </w:r>
            <w:r w:rsidRPr="00677889">
              <w:rPr>
                <w:lang w:val="en-US"/>
              </w:rPr>
              <w:t xml:space="preserve"> to mitigate health risks of professional practice.</w:t>
            </w:r>
            <w:r w:rsidR="00664A94" w:rsidRPr="00677889">
              <w:rPr>
                <w:rStyle w:val="FootnoteReference"/>
                <w:lang w:val="en-US"/>
              </w:rPr>
              <w:footnoteReference w:id="9"/>
            </w:r>
          </w:p>
        </w:tc>
      </w:tr>
    </w:tbl>
    <w:p w14:paraId="4E4A8A14" w14:textId="77777777" w:rsidR="00624805" w:rsidRPr="00677889" w:rsidRDefault="00624805">
      <w:pPr>
        <w:keepLines w:val="0"/>
        <w:widowControl/>
        <w:spacing w:after="200"/>
        <w:rPr>
          <w:szCs w:val="21"/>
          <w:lang w:val="en-US"/>
        </w:rPr>
      </w:pPr>
      <w:r w:rsidRPr="00677889">
        <w:rPr>
          <w:lang w:val="en-US"/>
        </w:rPr>
        <w:br w:type="page"/>
      </w:r>
    </w:p>
    <w:tbl>
      <w:tblPr>
        <w:tblStyle w:val="TableGrid"/>
        <w:tblW w:w="9240" w:type="dxa"/>
        <w:tblLook w:val="04A0" w:firstRow="1" w:lastRow="0" w:firstColumn="1" w:lastColumn="0" w:noHBand="0" w:noVBand="1"/>
      </w:tblPr>
      <w:tblGrid>
        <w:gridCol w:w="9240"/>
      </w:tblGrid>
      <w:tr w:rsidR="00624805" w:rsidRPr="00677889" w14:paraId="1C4253BA" w14:textId="77777777" w:rsidTr="00624805">
        <w:tc>
          <w:tcPr>
            <w:tcW w:w="9240" w:type="dxa"/>
            <w:tcBorders>
              <w:top w:val="thinThickThinSmallGap" w:sz="24" w:space="0" w:color="DCE4F1" w:themeColor="accent5" w:themeTint="33"/>
              <w:left w:val="thinThickThinSmallGap" w:sz="24" w:space="0" w:color="DCE4F1" w:themeColor="accent5" w:themeTint="33"/>
              <w:bottom w:val="thinThickThinSmallGap" w:sz="24" w:space="0" w:color="DCE4F1" w:themeColor="accent5" w:themeTint="33"/>
              <w:right w:val="thinThickThinSmallGap" w:sz="24" w:space="0" w:color="DCE4F1" w:themeColor="accent5" w:themeTint="33"/>
            </w:tcBorders>
            <w:shd w:val="clear" w:color="auto" w:fill="DCE4F1" w:themeFill="accent5" w:themeFillTint="33"/>
          </w:tcPr>
          <w:p w14:paraId="1CA00D2A" w14:textId="77777777" w:rsidR="00624805" w:rsidRPr="00677889" w:rsidRDefault="00624805" w:rsidP="00624805">
            <w:pPr>
              <w:pStyle w:val="Heading2"/>
              <w:spacing w:before="240"/>
              <w:ind w:left="255"/>
              <w:outlineLvl w:val="1"/>
              <w:rPr>
                <w:color w:val="375992" w:themeColor="accent5" w:themeShade="BF"/>
                <w:sz w:val="22"/>
                <w:szCs w:val="22"/>
                <w:lang w:val="en-US"/>
              </w:rPr>
            </w:pPr>
            <w:bookmarkStart w:id="82" w:name="_Toc446242281"/>
            <w:r w:rsidRPr="00677889">
              <w:rPr>
                <w:color w:val="375992" w:themeColor="accent5" w:themeShade="BF"/>
                <w:sz w:val="22"/>
                <w:szCs w:val="22"/>
                <w:lang w:val="en-US"/>
              </w:rPr>
              <w:lastRenderedPageBreak/>
              <w:t>UNIVERSAL COMPETENCY 2 – COMMUNICATION, COLLABORATION AND LEADERSHI</w:t>
            </w:r>
            <w:r w:rsidR="0004685B" w:rsidRPr="00677889">
              <w:rPr>
                <w:color w:val="375992" w:themeColor="accent5" w:themeShade="BF"/>
                <w:sz w:val="22"/>
                <w:szCs w:val="22"/>
                <w:lang w:val="en-US"/>
              </w:rPr>
              <w:t>P</w:t>
            </w:r>
            <w:bookmarkEnd w:id="82"/>
          </w:p>
          <w:p w14:paraId="4325CD50" w14:textId="72A12416" w:rsidR="00624805" w:rsidRPr="00677889" w:rsidRDefault="00624805" w:rsidP="000F1485">
            <w:pPr>
              <w:pStyle w:val="BodyText"/>
              <w:ind w:left="258"/>
              <w:rPr>
                <w:b/>
                <w:sz w:val="24"/>
                <w:szCs w:val="24"/>
                <w:lang w:val="en-US"/>
              </w:rPr>
            </w:pPr>
            <w:r w:rsidRPr="00677889">
              <w:rPr>
                <w:color w:val="375992" w:themeColor="accent5" w:themeShade="BF"/>
                <w:sz w:val="22"/>
                <w:szCs w:val="22"/>
                <w:lang w:val="en-US"/>
              </w:rPr>
              <w:t>Communicates and collaborates effectively at all times with patient</w:t>
            </w:r>
            <w:r w:rsidR="000F1485" w:rsidRPr="00677889">
              <w:rPr>
                <w:color w:val="375992" w:themeColor="accent5" w:themeShade="BF"/>
                <w:sz w:val="22"/>
                <w:szCs w:val="22"/>
                <w:lang w:val="en-US"/>
              </w:rPr>
              <w:t>s</w:t>
            </w:r>
            <w:r w:rsidRPr="00677889">
              <w:rPr>
                <w:color w:val="375992" w:themeColor="accent5" w:themeShade="BF"/>
                <w:sz w:val="22"/>
                <w:szCs w:val="22"/>
                <w:lang w:val="en-US"/>
              </w:rPr>
              <w:t xml:space="preserve"> and others.</w:t>
            </w:r>
            <w:r w:rsidRPr="00677889">
              <w:rPr>
                <w:color w:val="375992" w:themeColor="accent5" w:themeShade="BF"/>
                <w:sz w:val="22"/>
                <w:szCs w:val="22"/>
                <w:vertAlign w:val="superscript"/>
                <w:lang w:val="en-US"/>
              </w:rPr>
              <w:footnoteReference w:id="10"/>
            </w:r>
          </w:p>
        </w:tc>
      </w:tr>
    </w:tbl>
    <w:p w14:paraId="3792BBFF" w14:textId="77777777" w:rsidR="00624805" w:rsidRPr="00677889" w:rsidRDefault="00624805" w:rsidP="008C176B">
      <w:pPr>
        <w:pStyle w:val="BodyText"/>
        <w:spacing w:after="0"/>
        <w:rPr>
          <w:sz w:val="20"/>
          <w:szCs w:val="20"/>
          <w:lang w:val="en-US"/>
        </w:rPr>
      </w:pPr>
    </w:p>
    <w:tbl>
      <w:tblPr>
        <w:tblStyle w:val="TableGrid"/>
        <w:tblW w:w="935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256"/>
        <w:gridCol w:w="6095"/>
      </w:tblGrid>
      <w:tr w:rsidR="00624805" w:rsidRPr="00677889" w14:paraId="1BCEE617" w14:textId="77777777" w:rsidTr="00C41F6D">
        <w:trPr>
          <w:cantSplit/>
          <w:tblHeader/>
        </w:trPr>
        <w:tc>
          <w:tcPr>
            <w:tcW w:w="3256" w:type="dxa"/>
          </w:tcPr>
          <w:p w14:paraId="1342ECAC" w14:textId="77777777" w:rsidR="00624805" w:rsidRPr="00677889" w:rsidRDefault="00624805" w:rsidP="00624805">
            <w:pPr>
              <w:pStyle w:val="Heading3"/>
              <w:numPr>
                <w:ilvl w:val="0"/>
                <w:numId w:val="0"/>
              </w:numPr>
              <w:spacing w:before="120" w:after="120"/>
              <w:ind w:left="318" w:hanging="318"/>
              <w:jc w:val="center"/>
              <w:outlineLvl w:val="2"/>
              <w:rPr>
                <w:lang w:val="en-US"/>
              </w:rPr>
            </w:pPr>
            <w:bookmarkStart w:id="83" w:name="_Toc435716095"/>
            <w:bookmarkStart w:id="84" w:name="_Toc435728911"/>
            <w:bookmarkStart w:id="85" w:name="_Toc437248423"/>
            <w:bookmarkStart w:id="86" w:name="_Toc444178134"/>
            <w:bookmarkStart w:id="87" w:name="_Toc446242282"/>
            <w:r w:rsidRPr="00677889">
              <w:rPr>
                <w:lang w:val="en-US" w:eastAsia="en-US"/>
              </w:rPr>
              <w:t>ELEMENTS</w:t>
            </w:r>
            <w:bookmarkEnd w:id="83"/>
            <w:bookmarkEnd w:id="84"/>
            <w:bookmarkEnd w:id="85"/>
            <w:bookmarkEnd w:id="86"/>
            <w:bookmarkEnd w:id="87"/>
          </w:p>
        </w:tc>
        <w:tc>
          <w:tcPr>
            <w:tcW w:w="6095" w:type="dxa"/>
            <w:vAlign w:val="center"/>
          </w:tcPr>
          <w:p w14:paraId="097E3D75" w14:textId="77777777" w:rsidR="00624805" w:rsidRPr="00677889" w:rsidRDefault="00624805" w:rsidP="00624805">
            <w:pPr>
              <w:pStyle w:val="Heading3"/>
              <w:numPr>
                <w:ilvl w:val="0"/>
                <w:numId w:val="0"/>
              </w:numPr>
              <w:spacing w:before="120" w:after="120"/>
              <w:outlineLvl w:val="2"/>
              <w:rPr>
                <w:lang w:val="en-US"/>
              </w:rPr>
            </w:pPr>
            <w:r w:rsidRPr="00677889">
              <w:rPr>
                <w:lang w:val="en-US" w:eastAsia="en-US"/>
              </w:rPr>
              <w:tab/>
            </w:r>
            <w:r w:rsidRPr="00677889">
              <w:rPr>
                <w:lang w:val="en-US" w:eastAsia="en-US"/>
              </w:rPr>
              <w:tab/>
            </w:r>
            <w:bookmarkStart w:id="88" w:name="_Toc435716096"/>
            <w:bookmarkStart w:id="89" w:name="_Toc435728912"/>
            <w:bookmarkStart w:id="90" w:name="_Toc437248424"/>
            <w:bookmarkStart w:id="91" w:name="_Toc444178135"/>
            <w:bookmarkStart w:id="92" w:name="_Toc446242283"/>
            <w:r w:rsidRPr="00677889">
              <w:rPr>
                <w:lang w:val="en-US" w:eastAsia="en-US"/>
              </w:rPr>
              <w:t>PERFORMANCE</w:t>
            </w:r>
            <w:r w:rsidRPr="00677889">
              <w:rPr>
                <w:lang w:val="en-US"/>
              </w:rPr>
              <w:t xml:space="preserve"> CRITERIA</w:t>
            </w:r>
            <w:bookmarkEnd w:id="88"/>
            <w:bookmarkEnd w:id="89"/>
            <w:bookmarkEnd w:id="90"/>
            <w:bookmarkEnd w:id="91"/>
            <w:bookmarkEnd w:id="92"/>
          </w:p>
          <w:p w14:paraId="4B08631B" w14:textId="77777777" w:rsidR="00624805" w:rsidRPr="00677889" w:rsidRDefault="00624805" w:rsidP="00624805">
            <w:pPr>
              <w:pStyle w:val="BodyText"/>
              <w:spacing w:before="120" w:after="120"/>
              <w:rPr>
                <w:lang w:val="en-US"/>
              </w:rPr>
            </w:pPr>
            <w:r w:rsidRPr="00677889">
              <w:rPr>
                <w:lang w:val="en-US"/>
              </w:rPr>
              <w:t>On graduation, a chiropractor:</w:t>
            </w:r>
          </w:p>
        </w:tc>
      </w:tr>
      <w:tr w:rsidR="00624805" w:rsidRPr="00677889" w14:paraId="780E581E" w14:textId="77777777" w:rsidTr="00C41F6D">
        <w:trPr>
          <w:cantSplit/>
        </w:trPr>
        <w:tc>
          <w:tcPr>
            <w:tcW w:w="3256" w:type="dxa"/>
          </w:tcPr>
          <w:p w14:paraId="6B5DCDAE" w14:textId="0C61A8DC" w:rsidR="00624805" w:rsidRPr="00677889" w:rsidRDefault="00624805" w:rsidP="00922C4C">
            <w:pPr>
              <w:pStyle w:val="BodyText"/>
              <w:spacing w:before="120" w:after="120"/>
              <w:ind w:left="318" w:hanging="318"/>
              <w:rPr>
                <w:b/>
                <w:lang w:val="en-US"/>
              </w:rPr>
            </w:pPr>
            <w:r w:rsidRPr="00677889">
              <w:rPr>
                <w:b/>
                <w:lang w:val="en-US"/>
              </w:rPr>
              <w:t>2.1 Communicates effectively with patient</w:t>
            </w:r>
            <w:r w:rsidR="00922C4C" w:rsidRPr="00677889">
              <w:rPr>
                <w:b/>
                <w:lang w:val="en-US"/>
              </w:rPr>
              <w:t xml:space="preserve">s </w:t>
            </w:r>
            <w:r w:rsidRPr="00677889">
              <w:rPr>
                <w:b/>
                <w:lang w:val="en-US"/>
              </w:rPr>
              <w:t>and others</w:t>
            </w:r>
          </w:p>
        </w:tc>
        <w:tc>
          <w:tcPr>
            <w:tcW w:w="6095" w:type="dxa"/>
          </w:tcPr>
          <w:p w14:paraId="08A87770" w14:textId="6AECCBAF" w:rsidR="00624805" w:rsidRPr="00677889" w:rsidRDefault="00624805" w:rsidP="00624805">
            <w:pPr>
              <w:pStyle w:val="BodyText"/>
              <w:numPr>
                <w:ilvl w:val="0"/>
                <w:numId w:val="20"/>
              </w:numPr>
              <w:spacing w:before="120" w:after="120"/>
              <w:rPr>
                <w:lang w:val="en-US"/>
              </w:rPr>
            </w:pPr>
            <w:r w:rsidRPr="00677889">
              <w:t>Communicates effectively</w:t>
            </w:r>
            <w:r w:rsidR="00922C4C" w:rsidRPr="00677889">
              <w:t>—</w:t>
            </w:r>
            <w:r w:rsidRPr="00677889">
              <w:t>verbally, non-verbally and in writing</w:t>
            </w:r>
            <w:r w:rsidR="00922C4C" w:rsidRPr="00677889">
              <w:t>—</w:t>
            </w:r>
            <w:r w:rsidRPr="00677889">
              <w:t>providing clarity for safe and agreed care and treatment.</w:t>
            </w:r>
          </w:p>
          <w:p w14:paraId="41FAB477" w14:textId="194EDC62" w:rsidR="00624805" w:rsidRPr="00677889" w:rsidRDefault="00624805" w:rsidP="00624805">
            <w:pPr>
              <w:pStyle w:val="BodyText"/>
              <w:numPr>
                <w:ilvl w:val="0"/>
                <w:numId w:val="20"/>
              </w:numPr>
              <w:spacing w:before="120" w:after="120"/>
              <w:rPr>
                <w:lang w:val="en-US"/>
              </w:rPr>
            </w:pPr>
            <w:r w:rsidRPr="00677889">
              <w:t>Meets language proficiency requirements established in regulation for the profession.</w:t>
            </w:r>
          </w:p>
          <w:p w14:paraId="49EA1C96" w14:textId="051DD2A5" w:rsidR="00624805" w:rsidRPr="00677889" w:rsidRDefault="00624805" w:rsidP="00624805">
            <w:pPr>
              <w:pStyle w:val="BodyText"/>
              <w:numPr>
                <w:ilvl w:val="0"/>
                <w:numId w:val="20"/>
              </w:numPr>
              <w:spacing w:before="120" w:after="120"/>
              <w:rPr>
                <w:lang w:val="en-US"/>
              </w:rPr>
            </w:pPr>
            <w:r w:rsidRPr="00677889">
              <w:t>Adapts communication style</w:t>
            </w:r>
            <w:r w:rsidR="00922C4C" w:rsidRPr="00677889">
              <w:t xml:space="preserve"> to</w:t>
            </w:r>
            <w:r w:rsidRPr="00677889">
              <w:t xml:space="preserve"> </w:t>
            </w:r>
            <w:r w:rsidR="00BD5DD0" w:rsidRPr="00677889">
              <w:t>acknowledge</w:t>
            </w:r>
            <w:r w:rsidRPr="00677889">
              <w:t xml:space="preserve"> cultural safety, and cultural and linguistic diversity.</w:t>
            </w:r>
          </w:p>
          <w:p w14:paraId="35577ACA" w14:textId="77777777" w:rsidR="00624805" w:rsidRPr="00677889" w:rsidRDefault="00624805" w:rsidP="00624805">
            <w:pPr>
              <w:pStyle w:val="BodyText"/>
              <w:numPr>
                <w:ilvl w:val="0"/>
                <w:numId w:val="20"/>
              </w:numPr>
              <w:spacing w:before="120" w:after="120"/>
              <w:rPr>
                <w:lang w:val="en-US"/>
              </w:rPr>
            </w:pPr>
            <w:r w:rsidRPr="00677889">
              <w:t xml:space="preserve">Uses information </w:t>
            </w:r>
            <w:r w:rsidR="008C176B" w:rsidRPr="00677889">
              <w:t xml:space="preserve">and </w:t>
            </w:r>
            <w:r w:rsidRPr="00677889">
              <w:t>communication</w:t>
            </w:r>
            <w:r w:rsidR="008C176B" w:rsidRPr="00677889">
              <w:t>s</w:t>
            </w:r>
            <w:r w:rsidRPr="00677889">
              <w:t xml:space="preserve"> technology effectively to enhance communication.</w:t>
            </w:r>
          </w:p>
        </w:tc>
      </w:tr>
      <w:tr w:rsidR="00624805" w:rsidRPr="00677889" w14:paraId="7BFD1B27" w14:textId="77777777" w:rsidTr="00C41F6D">
        <w:trPr>
          <w:cantSplit/>
        </w:trPr>
        <w:tc>
          <w:tcPr>
            <w:tcW w:w="3256" w:type="dxa"/>
          </w:tcPr>
          <w:p w14:paraId="595774B4" w14:textId="6426ACC7" w:rsidR="00624805" w:rsidRPr="00677889" w:rsidRDefault="00624805" w:rsidP="00922C4C">
            <w:pPr>
              <w:pStyle w:val="BodyText"/>
              <w:spacing w:before="120" w:after="120"/>
              <w:ind w:left="318" w:hanging="318"/>
              <w:rPr>
                <w:b/>
                <w:lang w:val="en-US"/>
              </w:rPr>
            </w:pPr>
            <w:r w:rsidRPr="00677889">
              <w:rPr>
                <w:b/>
                <w:lang w:val="en-US"/>
              </w:rPr>
              <w:t>2.2 Collaborates effectively with patient</w:t>
            </w:r>
            <w:r w:rsidR="00922C4C" w:rsidRPr="00677889">
              <w:rPr>
                <w:b/>
                <w:lang w:val="en-US"/>
              </w:rPr>
              <w:t>s</w:t>
            </w:r>
            <w:r w:rsidRPr="00677889">
              <w:rPr>
                <w:b/>
                <w:lang w:val="en-US"/>
              </w:rPr>
              <w:t xml:space="preserve"> and others</w:t>
            </w:r>
          </w:p>
        </w:tc>
        <w:tc>
          <w:tcPr>
            <w:tcW w:w="6095" w:type="dxa"/>
          </w:tcPr>
          <w:p w14:paraId="0B24F656" w14:textId="3ABF27E8" w:rsidR="00CC64FE" w:rsidRPr="00677889" w:rsidRDefault="00CC64FE" w:rsidP="00664A94">
            <w:pPr>
              <w:pStyle w:val="BodyText"/>
              <w:numPr>
                <w:ilvl w:val="0"/>
                <w:numId w:val="20"/>
              </w:numPr>
              <w:spacing w:before="120" w:after="120"/>
            </w:pPr>
            <w:r w:rsidRPr="00677889">
              <w:t>Demonstrates rapport, active listening, mutual respect and trust in developing professional relationship</w:t>
            </w:r>
            <w:r w:rsidR="00922C4C" w:rsidRPr="00677889">
              <w:t>s</w:t>
            </w:r>
            <w:r w:rsidRPr="00677889">
              <w:t xml:space="preserve"> with patients</w:t>
            </w:r>
            <w:r w:rsidR="0022575A" w:rsidRPr="00677889">
              <w:t xml:space="preserve"> and others</w:t>
            </w:r>
            <w:r w:rsidRPr="00677889">
              <w:t>.</w:t>
            </w:r>
          </w:p>
          <w:p w14:paraId="240AE5A9" w14:textId="526AD269" w:rsidR="00CC64FE" w:rsidRPr="00677889" w:rsidRDefault="00CC64FE" w:rsidP="00664A94">
            <w:pPr>
              <w:pStyle w:val="BodyText"/>
              <w:numPr>
                <w:ilvl w:val="0"/>
                <w:numId w:val="20"/>
              </w:numPr>
              <w:spacing w:before="120" w:after="120"/>
            </w:pPr>
            <w:r w:rsidRPr="00677889">
              <w:t>Expresses professional opinions competently, confidently and respectfully, avoiding discipline</w:t>
            </w:r>
            <w:r w:rsidR="00922C4C" w:rsidRPr="00677889">
              <w:t>-</w:t>
            </w:r>
            <w:r w:rsidRPr="00677889">
              <w:t>specific language when necessary.</w:t>
            </w:r>
          </w:p>
          <w:p w14:paraId="51194282" w14:textId="6716EBE5" w:rsidR="00CC64FE" w:rsidRPr="00677889" w:rsidRDefault="00CC64FE" w:rsidP="00664A94">
            <w:pPr>
              <w:pStyle w:val="BodyText"/>
              <w:numPr>
                <w:ilvl w:val="0"/>
                <w:numId w:val="20"/>
              </w:numPr>
              <w:spacing w:before="120" w:after="120"/>
            </w:pPr>
            <w:r w:rsidRPr="00677889">
              <w:t xml:space="preserve">Gives timely, sensitive and instructive feedback to colleagues </w:t>
            </w:r>
            <w:r w:rsidR="00A5217F" w:rsidRPr="00677889">
              <w:t xml:space="preserve">in </w:t>
            </w:r>
            <w:r w:rsidRPr="00677889">
              <w:t>the chiropractic profession and other professions, and responds professionally to feedback from these colleagues.</w:t>
            </w:r>
          </w:p>
          <w:p w14:paraId="51196552" w14:textId="31B64BC3" w:rsidR="00CC64FE" w:rsidRPr="00677889" w:rsidRDefault="00A5217F" w:rsidP="00664A94">
            <w:pPr>
              <w:pStyle w:val="BodyText"/>
              <w:numPr>
                <w:ilvl w:val="0"/>
                <w:numId w:val="20"/>
              </w:numPr>
              <w:spacing w:before="120" w:after="120"/>
            </w:pPr>
            <w:r w:rsidRPr="00677889">
              <w:t xml:space="preserve">Demonstrates ability </w:t>
            </w:r>
            <w:r w:rsidR="00CC64FE" w:rsidRPr="00677889">
              <w:t>to describe and respect the roles and expertise of other health care professionals.</w:t>
            </w:r>
          </w:p>
          <w:p w14:paraId="5650CA70" w14:textId="2C92DCB0" w:rsidR="00CC64FE" w:rsidRPr="00677889" w:rsidRDefault="00CC64FE" w:rsidP="00664A94">
            <w:pPr>
              <w:pStyle w:val="BodyText"/>
              <w:numPr>
                <w:ilvl w:val="0"/>
                <w:numId w:val="20"/>
              </w:numPr>
              <w:spacing w:before="120" w:after="120"/>
            </w:pPr>
            <w:r w:rsidRPr="00677889">
              <w:t>Demonstrates ability to learn and work effectively as a member of an inter-professional team or other professional group</w:t>
            </w:r>
            <w:r w:rsidR="00A5217F" w:rsidRPr="00677889">
              <w:t>,</w:t>
            </w:r>
            <w:r w:rsidRPr="00677889">
              <w:t xml:space="preserve"> including</w:t>
            </w:r>
            <w:r w:rsidR="00A5217F" w:rsidRPr="00677889">
              <w:t xml:space="preserve"> through</w:t>
            </w:r>
            <w:r w:rsidRPr="00677889">
              <w:t xml:space="preserve"> delegation, supervision, consultation and referrals.</w:t>
            </w:r>
          </w:p>
          <w:p w14:paraId="747307BF" w14:textId="3985531A" w:rsidR="00624805" w:rsidRPr="00677889" w:rsidRDefault="00CC64FE" w:rsidP="00A5217F">
            <w:pPr>
              <w:pStyle w:val="BodyText"/>
              <w:numPr>
                <w:ilvl w:val="0"/>
                <w:numId w:val="20"/>
              </w:numPr>
              <w:spacing w:before="120" w:after="120"/>
            </w:pPr>
            <w:r w:rsidRPr="00677889">
              <w:t>Recognises potential for disagreement and conflict in relation to care and management, and responds to resolve issues.</w:t>
            </w:r>
          </w:p>
        </w:tc>
      </w:tr>
      <w:tr w:rsidR="009178D9" w:rsidRPr="00677889" w14:paraId="32EE66F4" w14:textId="77777777" w:rsidTr="00C41F6D">
        <w:trPr>
          <w:cantSplit/>
        </w:trPr>
        <w:tc>
          <w:tcPr>
            <w:tcW w:w="3256" w:type="dxa"/>
          </w:tcPr>
          <w:p w14:paraId="38078F3F" w14:textId="77777777" w:rsidR="009178D9" w:rsidRPr="00677889" w:rsidRDefault="009178D9" w:rsidP="00624805">
            <w:pPr>
              <w:pStyle w:val="BodyText"/>
              <w:spacing w:before="120" w:after="120"/>
              <w:ind w:left="318" w:hanging="318"/>
              <w:rPr>
                <w:b/>
                <w:lang w:val="en-US"/>
              </w:rPr>
            </w:pPr>
            <w:r w:rsidRPr="00677889">
              <w:rPr>
                <w:b/>
                <w:lang w:val="en-US"/>
              </w:rPr>
              <w:lastRenderedPageBreak/>
              <w:t>2.3 Implement</w:t>
            </w:r>
            <w:r w:rsidR="008F3B7F" w:rsidRPr="00677889">
              <w:rPr>
                <w:b/>
                <w:lang w:val="en-US"/>
              </w:rPr>
              <w:t>s</w:t>
            </w:r>
            <w:r w:rsidRPr="00677889">
              <w:rPr>
                <w:b/>
                <w:lang w:val="en-US"/>
              </w:rPr>
              <w:t xml:space="preserve"> health promotion and disease prevention strategies</w:t>
            </w:r>
          </w:p>
        </w:tc>
        <w:tc>
          <w:tcPr>
            <w:tcW w:w="6095" w:type="dxa"/>
          </w:tcPr>
          <w:p w14:paraId="150F22E8" w14:textId="77777777" w:rsidR="00AE529B" w:rsidRPr="00677889" w:rsidRDefault="00AE529B" w:rsidP="00CC64FE">
            <w:pPr>
              <w:pStyle w:val="BodyText"/>
              <w:numPr>
                <w:ilvl w:val="0"/>
                <w:numId w:val="23"/>
              </w:numPr>
              <w:spacing w:before="120" w:after="120"/>
              <w:rPr>
                <w:lang w:val="en-US"/>
              </w:rPr>
            </w:pPr>
            <w:r w:rsidRPr="00677889">
              <w:rPr>
                <w:lang w:val="en-US"/>
              </w:rPr>
              <w:t>Recognises responsibility to protect and advance the health and wellbeing of individuals, communities and populations.</w:t>
            </w:r>
            <w:r w:rsidR="00213D83" w:rsidRPr="00677889">
              <w:rPr>
                <w:rStyle w:val="FootnoteReference"/>
                <w:lang w:val="en-US"/>
              </w:rPr>
              <w:footnoteReference w:id="11"/>
            </w:r>
          </w:p>
          <w:p w14:paraId="00BAC88C" w14:textId="56ABB7DA" w:rsidR="00AE529B" w:rsidRPr="00677889" w:rsidRDefault="00AE529B" w:rsidP="00CC64FE">
            <w:pPr>
              <w:pStyle w:val="BodyText"/>
              <w:numPr>
                <w:ilvl w:val="0"/>
                <w:numId w:val="23"/>
              </w:numPr>
              <w:spacing w:before="120" w:after="120"/>
              <w:rPr>
                <w:lang w:val="en-US"/>
              </w:rPr>
            </w:pPr>
            <w:r w:rsidRPr="00677889">
              <w:rPr>
                <w:lang w:val="en-US"/>
              </w:rPr>
              <w:t>Participates in evidence</w:t>
            </w:r>
            <w:r w:rsidR="00A5217F" w:rsidRPr="00677889">
              <w:rPr>
                <w:lang w:val="en-US"/>
              </w:rPr>
              <w:t>-</w:t>
            </w:r>
            <w:r w:rsidRPr="00677889">
              <w:rPr>
                <w:lang w:val="en-US"/>
              </w:rPr>
              <w:t>based health education and risk reduction programs to meet identified needs within the community</w:t>
            </w:r>
            <w:r w:rsidR="00A5217F" w:rsidRPr="00677889">
              <w:rPr>
                <w:lang w:val="en-US"/>
              </w:rPr>
              <w:t>.</w:t>
            </w:r>
          </w:p>
          <w:p w14:paraId="18AC410F" w14:textId="2DE34EFA" w:rsidR="00AE529B" w:rsidRPr="00677889" w:rsidRDefault="00AE529B" w:rsidP="00CC64FE">
            <w:pPr>
              <w:pStyle w:val="BodyText"/>
              <w:numPr>
                <w:ilvl w:val="0"/>
                <w:numId w:val="23"/>
              </w:numPr>
              <w:spacing w:before="120" w:after="120"/>
              <w:rPr>
                <w:lang w:val="en-US"/>
              </w:rPr>
            </w:pPr>
            <w:r w:rsidRPr="00677889">
              <w:rPr>
                <w:lang w:val="en-US"/>
              </w:rPr>
              <w:t>Integrates prevention, early detection, health maintenance and chronic condition management</w:t>
            </w:r>
            <w:r w:rsidR="00A5217F" w:rsidRPr="00677889">
              <w:rPr>
                <w:lang w:val="en-US"/>
              </w:rPr>
              <w:t>,</w:t>
            </w:r>
            <w:r w:rsidRPr="00677889">
              <w:rPr>
                <w:lang w:val="en-US"/>
              </w:rPr>
              <w:t xml:space="preserve"> where relevant</w:t>
            </w:r>
            <w:r w:rsidR="00A5217F" w:rsidRPr="00677889">
              <w:rPr>
                <w:lang w:val="en-US"/>
              </w:rPr>
              <w:t>,</w:t>
            </w:r>
            <w:r w:rsidRPr="00677889">
              <w:rPr>
                <w:lang w:val="en-US"/>
              </w:rPr>
              <w:t xml:space="preserve"> into practice.</w:t>
            </w:r>
            <w:r w:rsidR="00213D83" w:rsidRPr="00677889">
              <w:rPr>
                <w:rStyle w:val="FootnoteReference"/>
                <w:lang w:val="en-US"/>
              </w:rPr>
              <w:footnoteReference w:id="12"/>
            </w:r>
          </w:p>
          <w:p w14:paraId="234897A5" w14:textId="70311678" w:rsidR="009178D9" w:rsidRPr="00677889" w:rsidRDefault="00AE529B" w:rsidP="00A5217F">
            <w:pPr>
              <w:pStyle w:val="BodyText"/>
              <w:numPr>
                <w:ilvl w:val="0"/>
                <w:numId w:val="23"/>
              </w:numPr>
              <w:spacing w:before="120" w:after="120"/>
              <w:rPr>
                <w:lang w:val="en-US"/>
              </w:rPr>
            </w:pPr>
            <w:r w:rsidRPr="00677889">
              <w:rPr>
                <w:lang w:val="en-US"/>
              </w:rPr>
              <w:t>Places the needs and safety of patients at the centre of the care process, demonstrating safety skills including infection control, adverse event reporting and effective co-management and referral.</w:t>
            </w:r>
            <w:r w:rsidR="00213D83" w:rsidRPr="00677889">
              <w:rPr>
                <w:rStyle w:val="FootnoteReference"/>
                <w:lang w:val="en-US"/>
              </w:rPr>
              <w:footnoteReference w:id="13"/>
            </w:r>
          </w:p>
        </w:tc>
      </w:tr>
      <w:tr w:rsidR="00624805" w:rsidRPr="00677889" w14:paraId="3192E86E" w14:textId="77777777" w:rsidTr="00C41F6D">
        <w:trPr>
          <w:cantSplit/>
        </w:trPr>
        <w:tc>
          <w:tcPr>
            <w:tcW w:w="3256" w:type="dxa"/>
          </w:tcPr>
          <w:p w14:paraId="7EF05DD7" w14:textId="77777777" w:rsidR="00624805" w:rsidRPr="00677889" w:rsidRDefault="00624805" w:rsidP="009178D9">
            <w:pPr>
              <w:pStyle w:val="BodyText"/>
              <w:spacing w:before="120" w:after="120"/>
              <w:ind w:left="318" w:hanging="318"/>
              <w:rPr>
                <w:b/>
                <w:lang w:val="en-US"/>
              </w:rPr>
            </w:pPr>
            <w:r w:rsidRPr="00677889">
              <w:rPr>
                <w:b/>
                <w:lang w:val="en-US"/>
              </w:rPr>
              <w:t>2.</w:t>
            </w:r>
            <w:r w:rsidR="009178D9" w:rsidRPr="00677889">
              <w:rPr>
                <w:b/>
                <w:lang w:val="en-US"/>
              </w:rPr>
              <w:t>4</w:t>
            </w:r>
            <w:r w:rsidRPr="00677889">
              <w:rPr>
                <w:b/>
                <w:lang w:val="en-US"/>
              </w:rPr>
              <w:t xml:space="preserve"> Manages information to meet legal obligations and professional standards</w:t>
            </w:r>
          </w:p>
        </w:tc>
        <w:tc>
          <w:tcPr>
            <w:tcW w:w="6095" w:type="dxa"/>
          </w:tcPr>
          <w:p w14:paraId="664CF654" w14:textId="77777777" w:rsidR="00624805" w:rsidRPr="00677889" w:rsidRDefault="00624805" w:rsidP="00624805">
            <w:pPr>
              <w:pStyle w:val="BodyText"/>
              <w:numPr>
                <w:ilvl w:val="0"/>
                <w:numId w:val="21"/>
              </w:numPr>
              <w:spacing w:before="120" w:after="120"/>
              <w:rPr>
                <w:lang w:val="en-US"/>
              </w:rPr>
            </w:pPr>
            <w:r w:rsidRPr="00677889">
              <w:rPr>
                <w:lang w:val="en-US"/>
              </w:rPr>
              <w:t>Creates, maintains and manages accurate and complete records that</w:t>
            </w:r>
            <w:r w:rsidRPr="00677889">
              <w:t xml:space="preserve"> comply with legal requirements, accepted professional standards and confidentiality.</w:t>
            </w:r>
          </w:p>
        </w:tc>
      </w:tr>
      <w:tr w:rsidR="00624805" w:rsidRPr="00677889" w14:paraId="2DBD0846" w14:textId="77777777" w:rsidTr="00C41F6D">
        <w:trPr>
          <w:cantSplit/>
        </w:trPr>
        <w:tc>
          <w:tcPr>
            <w:tcW w:w="3256" w:type="dxa"/>
          </w:tcPr>
          <w:p w14:paraId="6BEB9DB9" w14:textId="77777777" w:rsidR="00624805" w:rsidRPr="00677889" w:rsidRDefault="00624805" w:rsidP="009178D9">
            <w:pPr>
              <w:pStyle w:val="BodyText"/>
              <w:spacing w:before="120" w:after="120"/>
              <w:ind w:left="318" w:hanging="318"/>
              <w:rPr>
                <w:b/>
                <w:lang w:val="en-US"/>
              </w:rPr>
            </w:pPr>
            <w:r w:rsidRPr="00677889">
              <w:rPr>
                <w:b/>
                <w:lang w:val="en-US"/>
              </w:rPr>
              <w:t>2.</w:t>
            </w:r>
            <w:r w:rsidR="009178D9" w:rsidRPr="00677889">
              <w:rPr>
                <w:b/>
                <w:lang w:val="en-US"/>
              </w:rPr>
              <w:t>5</w:t>
            </w:r>
            <w:r w:rsidRPr="00677889">
              <w:rPr>
                <w:b/>
                <w:lang w:val="en-US"/>
              </w:rPr>
              <w:t xml:space="preserve"> Supervises administrative </w:t>
            </w:r>
            <w:r w:rsidR="006D4C8D" w:rsidRPr="00677889">
              <w:rPr>
                <w:b/>
                <w:lang w:val="en-US"/>
              </w:rPr>
              <w:t xml:space="preserve">and other </w:t>
            </w:r>
            <w:r w:rsidRPr="00677889">
              <w:rPr>
                <w:b/>
                <w:lang w:val="en-US"/>
              </w:rPr>
              <w:t>staff</w:t>
            </w:r>
          </w:p>
        </w:tc>
        <w:tc>
          <w:tcPr>
            <w:tcW w:w="6095" w:type="dxa"/>
          </w:tcPr>
          <w:p w14:paraId="490EB346" w14:textId="77777777" w:rsidR="00624805" w:rsidRPr="00677889" w:rsidRDefault="00624805" w:rsidP="00624805">
            <w:pPr>
              <w:pStyle w:val="BodyText"/>
              <w:numPr>
                <w:ilvl w:val="0"/>
                <w:numId w:val="23"/>
              </w:numPr>
              <w:spacing w:before="120" w:after="120"/>
              <w:rPr>
                <w:lang w:val="en-US"/>
              </w:rPr>
            </w:pPr>
            <w:r w:rsidRPr="00677889">
              <w:rPr>
                <w:lang w:val="en-US"/>
              </w:rPr>
              <w:t>Defines activities that can be delegated to administrative or other staff.</w:t>
            </w:r>
          </w:p>
          <w:p w14:paraId="54006204" w14:textId="17A23230" w:rsidR="00624805" w:rsidRPr="00677889" w:rsidRDefault="00624805" w:rsidP="00A5217F">
            <w:pPr>
              <w:pStyle w:val="BodyText"/>
              <w:numPr>
                <w:ilvl w:val="0"/>
                <w:numId w:val="23"/>
              </w:numPr>
              <w:spacing w:before="120" w:after="120"/>
              <w:rPr>
                <w:lang w:val="en-US"/>
              </w:rPr>
            </w:pPr>
            <w:r w:rsidRPr="00677889">
              <w:rPr>
                <w:lang w:val="en-US"/>
              </w:rPr>
              <w:t>Explains responsibility for supervisi</w:t>
            </w:r>
            <w:r w:rsidR="00A5217F" w:rsidRPr="00677889">
              <w:rPr>
                <w:lang w:val="en-US"/>
              </w:rPr>
              <w:t>ng</w:t>
            </w:r>
            <w:r w:rsidRPr="00677889">
              <w:rPr>
                <w:lang w:val="en-US"/>
              </w:rPr>
              <w:t xml:space="preserve"> </w:t>
            </w:r>
            <w:r w:rsidR="00213D83" w:rsidRPr="00677889">
              <w:rPr>
                <w:lang w:val="en-US"/>
              </w:rPr>
              <w:t xml:space="preserve">and training </w:t>
            </w:r>
            <w:r w:rsidRPr="00677889">
              <w:rPr>
                <w:lang w:val="en-US"/>
              </w:rPr>
              <w:t>administrative or other staff.</w:t>
            </w:r>
          </w:p>
        </w:tc>
      </w:tr>
    </w:tbl>
    <w:p w14:paraId="47F33095" w14:textId="77777777" w:rsidR="00624805" w:rsidRPr="00677889" w:rsidRDefault="00624805" w:rsidP="00624805">
      <w:pPr>
        <w:pStyle w:val="BodyText"/>
        <w:rPr>
          <w:lang w:val="en-US"/>
        </w:rPr>
      </w:pPr>
    </w:p>
    <w:p w14:paraId="579BA516" w14:textId="77777777" w:rsidR="00624805" w:rsidRPr="00677889" w:rsidRDefault="00624805" w:rsidP="00624805">
      <w:pPr>
        <w:pStyle w:val="BodyText"/>
        <w:rPr>
          <w:lang w:val="en-US"/>
        </w:rPr>
      </w:pPr>
    </w:p>
    <w:p w14:paraId="0919187C" w14:textId="77777777" w:rsidR="00624805" w:rsidRPr="00677889" w:rsidRDefault="00624805" w:rsidP="00624805">
      <w:pPr>
        <w:pStyle w:val="BodyText"/>
        <w:spacing w:before="240"/>
        <w:sectPr w:rsidR="00624805" w:rsidRPr="00677889" w:rsidSect="00624805">
          <w:headerReference w:type="even" r:id="rId31"/>
          <w:headerReference w:type="default" r:id="rId32"/>
          <w:headerReference w:type="first" r:id="rId33"/>
          <w:footerReference w:type="first" r:id="rId34"/>
          <w:pgSz w:w="11907" w:h="16840" w:code="9"/>
          <w:pgMar w:top="1440" w:right="1440" w:bottom="851" w:left="1440" w:header="720" w:footer="720" w:gutter="0"/>
          <w:cols w:space="720"/>
          <w:docGrid w:linePitch="360"/>
        </w:sectPr>
      </w:pPr>
    </w:p>
    <w:tbl>
      <w:tblPr>
        <w:tblStyle w:val="TableGrid"/>
        <w:tblW w:w="9240" w:type="dxa"/>
        <w:tblLook w:val="04A0" w:firstRow="1" w:lastRow="0" w:firstColumn="1" w:lastColumn="0" w:noHBand="0" w:noVBand="1"/>
      </w:tblPr>
      <w:tblGrid>
        <w:gridCol w:w="9240"/>
      </w:tblGrid>
      <w:tr w:rsidR="00624805" w:rsidRPr="00677889" w14:paraId="339EFA39" w14:textId="77777777" w:rsidTr="00624805">
        <w:tc>
          <w:tcPr>
            <w:tcW w:w="9240" w:type="dxa"/>
            <w:tcBorders>
              <w:top w:val="thinThickThinSmallGap" w:sz="24" w:space="0" w:color="DCE4F1" w:themeColor="accent5" w:themeTint="33"/>
              <w:left w:val="thinThickThinSmallGap" w:sz="24" w:space="0" w:color="DCE4F1" w:themeColor="accent5" w:themeTint="33"/>
              <w:bottom w:val="thinThickThinSmallGap" w:sz="24" w:space="0" w:color="DCE4F1" w:themeColor="accent5" w:themeTint="33"/>
              <w:right w:val="thinThickThinSmallGap" w:sz="24" w:space="0" w:color="DCE4F1" w:themeColor="accent5" w:themeTint="33"/>
            </w:tcBorders>
            <w:shd w:val="clear" w:color="auto" w:fill="DCE4F1" w:themeFill="accent5" w:themeFillTint="33"/>
          </w:tcPr>
          <w:p w14:paraId="22CCF835" w14:textId="77777777" w:rsidR="00624805" w:rsidRPr="00677889" w:rsidRDefault="00624805" w:rsidP="00624805">
            <w:pPr>
              <w:pStyle w:val="Heading2"/>
              <w:spacing w:before="240"/>
              <w:ind w:left="255"/>
              <w:outlineLvl w:val="1"/>
              <w:rPr>
                <w:color w:val="375992" w:themeColor="accent5" w:themeShade="BF"/>
                <w:sz w:val="22"/>
                <w:szCs w:val="22"/>
                <w:lang w:val="en-US"/>
              </w:rPr>
            </w:pPr>
            <w:bookmarkStart w:id="93" w:name="_Toc446242284"/>
            <w:r w:rsidRPr="00677889">
              <w:rPr>
                <w:color w:val="375992" w:themeColor="accent5" w:themeShade="BF"/>
                <w:sz w:val="22"/>
                <w:szCs w:val="22"/>
                <w:lang w:val="en-US"/>
              </w:rPr>
              <w:lastRenderedPageBreak/>
              <w:t>PRACTICE COMPETENCY 3 – CLINICAL ASSESSMENT</w:t>
            </w:r>
            <w:bookmarkEnd w:id="93"/>
          </w:p>
          <w:p w14:paraId="2C5AD4B5" w14:textId="33E1CAB1" w:rsidR="00624805" w:rsidRPr="00677889" w:rsidRDefault="00624805" w:rsidP="00B17050">
            <w:pPr>
              <w:pStyle w:val="BodyText"/>
              <w:ind w:left="258"/>
              <w:rPr>
                <w:b/>
                <w:sz w:val="24"/>
                <w:szCs w:val="24"/>
                <w:lang w:val="en-US"/>
              </w:rPr>
            </w:pPr>
            <w:r w:rsidRPr="00677889">
              <w:rPr>
                <w:color w:val="375992" w:themeColor="accent5" w:themeShade="BF"/>
                <w:sz w:val="22"/>
                <w:szCs w:val="22"/>
                <w:lang w:val="en-US"/>
              </w:rPr>
              <w:t>Understands patients</w:t>
            </w:r>
            <w:r w:rsidR="00B17050" w:rsidRPr="00677889">
              <w:rPr>
                <w:color w:val="375992" w:themeColor="accent5" w:themeShade="BF"/>
                <w:sz w:val="22"/>
                <w:szCs w:val="22"/>
                <w:lang w:val="en-US"/>
              </w:rPr>
              <w:t>’</w:t>
            </w:r>
            <w:r w:rsidRPr="00677889">
              <w:rPr>
                <w:color w:val="375992" w:themeColor="accent5" w:themeShade="BF"/>
                <w:sz w:val="22"/>
                <w:szCs w:val="22"/>
                <w:lang w:val="en-US"/>
              </w:rPr>
              <w:t xml:space="preserve"> health status and related circumstances</w:t>
            </w:r>
            <w:r w:rsidRPr="00677889">
              <w:rPr>
                <w:color w:val="375992" w:themeColor="accent5" w:themeShade="BF"/>
                <w:sz w:val="22"/>
                <w:szCs w:val="22"/>
                <w:vertAlign w:val="superscript"/>
                <w:lang w:val="en-US"/>
              </w:rPr>
              <w:footnoteReference w:id="14"/>
            </w:r>
            <w:r w:rsidRPr="00677889">
              <w:rPr>
                <w:color w:val="375992" w:themeColor="accent5" w:themeShade="BF"/>
                <w:sz w:val="22"/>
                <w:szCs w:val="22"/>
                <w:lang w:val="en-US"/>
              </w:rPr>
              <w:t>; critically analys</w:t>
            </w:r>
            <w:r w:rsidR="00B17050" w:rsidRPr="00677889">
              <w:rPr>
                <w:color w:val="375992" w:themeColor="accent5" w:themeShade="BF"/>
                <w:sz w:val="22"/>
                <w:szCs w:val="22"/>
                <w:lang w:val="en-US"/>
              </w:rPr>
              <w:t>es</w:t>
            </w:r>
            <w:r w:rsidRPr="00677889">
              <w:rPr>
                <w:color w:val="375992" w:themeColor="accent5" w:themeShade="BF"/>
                <w:sz w:val="22"/>
                <w:szCs w:val="22"/>
                <w:lang w:val="en-US"/>
              </w:rPr>
              <w:t xml:space="preserve"> these and form</w:t>
            </w:r>
            <w:r w:rsidR="00B17050" w:rsidRPr="00677889">
              <w:rPr>
                <w:color w:val="375992" w:themeColor="accent5" w:themeShade="BF"/>
                <w:sz w:val="22"/>
                <w:szCs w:val="22"/>
                <w:lang w:val="en-US"/>
              </w:rPr>
              <w:t>s</w:t>
            </w:r>
            <w:r w:rsidRPr="00677889">
              <w:rPr>
                <w:color w:val="375992" w:themeColor="accent5" w:themeShade="BF"/>
                <w:sz w:val="22"/>
                <w:szCs w:val="22"/>
                <w:lang w:val="en-US"/>
              </w:rPr>
              <w:t xml:space="preserve"> a clinical impression.</w:t>
            </w:r>
          </w:p>
        </w:tc>
      </w:tr>
    </w:tbl>
    <w:p w14:paraId="74F227B5" w14:textId="77777777" w:rsidR="00624805" w:rsidRPr="00677889" w:rsidRDefault="00624805" w:rsidP="009178D9">
      <w:pPr>
        <w:pStyle w:val="BodyText"/>
        <w:rPr>
          <w:sz w:val="20"/>
          <w:szCs w:val="20"/>
          <w:lang w:val="en-US"/>
        </w:rPr>
      </w:pPr>
    </w:p>
    <w:tbl>
      <w:tblPr>
        <w:tblStyle w:val="TableGrid"/>
        <w:tblW w:w="930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256"/>
        <w:gridCol w:w="6044"/>
      </w:tblGrid>
      <w:tr w:rsidR="00624805" w:rsidRPr="00677889" w14:paraId="251E97EF" w14:textId="77777777" w:rsidTr="008114F3">
        <w:trPr>
          <w:tblHeader/>
        </w:trPr>
        <w:tc>
          <w:tcPr>
            <w:tcW w:w="3256" w:type="dxa"/>
          </w:tcPr>
          <w:p w14:paraId="08EA4424" w14:textId="77777777" w:rsidR="00624805" w:rsidRPr="00677889" w:rsidRDefault="00624805" w:rsidP="00624805">
            <w:pPr>
              <w:pStyle w:val="Heading3"/>
              <w:numPr>
                <w:ilvl w:val="0"/>
                <w:numId w:val="0"/>
              </w:numPr>
              <w:spacing w:before="120" w:after="120"/>
              <w:ind w:left="459" w:hanging="459"/>
              <w:jc w:val="center"/>
              <w:outlineLvl w:val="2"/>
              <w:rPr>
                <w:lang w:val="en-US"/>
              </w:rPr>
            </w:pPr>
            <w:bookmarkStart w:id="94" w:name="_Toc435716098"/>
            <w:bookmarkStart w:id="95" w:name="_Toc435728914"/>
            <w:bookmarkStart w:id="96" w:name="_Toc437248426"/>
            <w:bookmarkStart w:id="97" w:name="_Toc444178137"/>
            <w:bookmarkStart w:id="98" w:name="_Toc446242285"/>
            <w:r w:rsidRPr="00677889">
              <w:rPr>
                <w:lang w:val="en-US" w:eastAsia="en-US"/>
              </w:rPr>
              <w:t>ELEMENTS</w:t>
            </w:r>
            <w:bookmarkEnd w:id="94"/>
            <w:bookmarkEnd w:id="95"/>
            <w:bookmarkEnd w:id="96"/>
            <w:bookmarkEnd w:id="97"/>
            <w:bookmarkEnd w:id="98"/>
          </w:p>
        </w:tc>
        <w:tc>
          <w:tcPr>
            <w:tcW w:w="6044" w:type="dxa"/>
          </w:tcPr>
          <w:p w14:paraId="1E44D672" w14:textId="77777777" w:rsidR="00624805" w:rsidRPr="00677889" w:rsidRDefault="00624805" w:rsidP="00624805">
            <w:pPr>
              <w:pStyle w:val="Heading3"/>
              <w:numPr>
                <w:ilvl w:val="0"/>
                <w:numId w:val="0"/>
              </w:numPr>
              <w:spacing w:before="120" w:after="120"/>
              <w:outlineLvl w:val="2"/>
              <w:rPr>
                <w:lang w:val="en-US"/>
              </w:rPr>
            </w:pPr>
            <w:r w:rsidRPr="00677889">
              <w:rPr>
                <w:lang w:val="en-US" w:eastAsia="en-US"/>
              </w:rPr>
              <w:tab/>
            </w:r>
            <w:r w:rsidRPr="00677889">
              <w:rPr>
                <w:lang w:val="en-US" w:eastAsia="en-US"/>
              </w:rPr>
              <w:tab/>
            </w:r>
            <w:bookmarkStart w:id="99" w:name="_Toc435716099"/>
            <w:bookmarkStart w:id="100" w:name="_Toc435728915"/>
            <w:bookmarkStart w:id="101" w:name="_Toc437248427"/>
            <w:bookmarkStart w:id="102" w:name="_Toc444178138"/>
            <w:bookmarkStart w:id="103" w:name="_Toc446242286"/>
            <w:r w:rsidRPr="00677889">
              <w:rPr>
                <w:lang w:val="en-US" w:eastAsia="en-US"/>
              </w:rPr>
              <w:t>PERFORMANCE</w:t>
            </w:r>
            <w:r w:rsidRPr="00677889">
              <w:rPr>
                <w:lang w:val="en-US"/>
              </w:rPr>
              <w:t xml:space="preserve"> CRITERIA</w:t>
            </w:r>
            <w:bookmarkEnd w:id="99"/>
            <w:bookmarkEnd w:id="100"/>
            <w:bookmarkEnd w:id="101"/>
            <w:bookmarkEnd w:id="102"/>
            <w:bookmarkEnd w:id="103"/>
          </w:p>
          <w:p w14:paraId="51E3A430" w14:textId="77777777" w:rsidR="00624805" w:rsidRPr="00677889" w:rsidRDefault="00624805" w:rsidP="00624805">
            <w:pPr>
              <w:pStyle w:val="BodyText"/>
              <w:spacing w:before="120" w:after="120"/>
              <w:rPr>
                <w:lang w:val="en-US"/>
              </w:rPr>
            </w:pPr>
            <w:r w:rsidRPr="00677889">
              <w:rPr>
                <w:lang w:val="en-US"/>
              </w:rPr>
              <w:t>On graduation, a chiropractor:</w:t>
            </w:r>
          </w:p>
        </w:tc>
      </w:tr>
      <w:tr w:rsidR="00624805" w:rsidRPr="00677889" w14:paraId="49C9F0E7" w14:textId="77777777" w:rsidTr="008114F3">
        <w:tc>
          <w:tcPr>
            <w:tcW w:w="3256" w:type="dxa"/>
          </w:tcPr>
          <w:p w14:paraId="21B78524" w14:textId="77777777" w:rsidR="00624805" w:rsidRPr="00677889" w:rsidRDefault="00624805" w:rsidP="00153293">
            <w:pPr>
              <w:pStyle w:val="BodyText"/>
              <w:spacing w:before="120" w:after="120"/>
              <w:ind w:left="459" w:hanging="459"/>
              <w:rPr>
                <w:b/>
                <w:lang w:val="en-US"/>
              </w:rPr>
            </w:pPr>
            <w:r w:rsidRPr="00677889">
              <w:rPr>
                <w:b/>
                <w:lang w:val="en-US"/>
              </w:rPr>
              <w:t>3.1. Obtains and records a history</w:t>
            </w:r>
          </w:p>
        </w:tc>
        <w:tc>
          <w:tcPr>
            <w:tcW w:w="6044" w:type="dxa"/>
          </w:tcPr>
          <w:p w14:paraId="187B7D56" w14:textId="41177C0D" w:rsidR="00624805" w:rsidRPr="00677889" w:rsidRDefault="00624805" w:rsidP="00624805">
            <w:pPr>
              <w:pStyle w:val="BodyText"/>
              <w:numPr>
                <w:ilvl w:val="0"/>
                <w:numId w:val="20"/>
              </w:numPr>
              <w:spacing w:before="120" w:after="120"/>
              <w:rPr>
                <w:lang w:val="en-US"/>
              </w:rPr>
            </w:pPr>
            <w:r w:rsidRPr="00677889">
              <w:rPr>
                <w:lang w:val="en-US"/>
              </w:rPr>
              <w:t>Obtains and records history of patient</w:t>
            </w:r>
            <w:r w:rsidR="007C18F9" w:rsidRPr="00677889">
              <w:rPr>
                <w:lang w:val="en-US"/>
              </w:rPr>
              <w:t>s’</w:t>
            </w:r>
            <w:r w:rsidRPr="00677889">
              <w:rPr>
                <w:lang w:val="en-US"/>
              </w:rPr>
              <w:t xml:space="preserve"> medical, social and health status.</w:t>
            </w:r>
          </w:p>
          <w:p w14:paraId="54841C1D" w14:textId="77777777" w:rsidR="00624805" w:rsidRPr="00677889" w:rsidRDefault="00624805" w:rsidP="00624805">
            <w:pPr>
              <w:pStyle w:val="BodyText"/>
              <w:numPr>
                <w:ilvl w:val="0"/>
                <w:numId w:val="20"/>
              </w:numPr>
              <w:spacing w:before="120" w:after="120"/>
              <w:rPr>
                <w:lang w:val="en-US"/>
              </w:rPr>
            </w:pPr>
            <w:r w:rsidRPr="00677889">
              <w:rPr>
                <w:lang w:val="en-US"/>
              </w:rPr>
              <w:t>Evaluates individual patient risk factors.</w:t>
            </w:r>
          </w:p>
          <w:p w14:paraId="6B377680" w14:textId="3CFED8B6" w:rsidR="00624805" w:rsidRPr="00677889" w:rsidRDefault="00CC64FE" w:rsidP="007C18F9">
            <w:pPr>
              <w:pStyle w:val="BodyText"/>
              <w:numPr>
                <w:ilvl w:val="0"/>
                <w:numId w:val="20"/>
              </w:numPr>
              <w:rPr>
                <w:lang w:val="en-US"/>
              </w:rPr>
            </w:pPr>
            <w:r w:rsidRPr="00677889">
              <w:rPr>
                <w:lang w:val="en-US"/>
              </w:rPr>
              <w:t>Maintains secure, accurate, consisten</w:t>
            </w:r>
            <w:r w:rsidR="00213D83" w:rsidRPr="00677889">
              <w:rPr>
                <w:lang w:val="en-US"/>
              </w:rPr>
              <w:t xml:space="preserve">t, legible and contemporaneous </w:t>
            </w:r>
            <w:r w:rsidRPr="00677889">
              <w:rPr>
                <w:lang w:val="en-US"/>
              </w:rPr>
              <w:t>r</w:t>
            </w:r>
            <w:r w:rsidR="00213D83" w:rsidRPr="00677889">
              <w:rPr>
                <w:lang w:val="en-US"/>
              </w:rPr>
              <w:t>ecords of patient management</w:t>
            </w:r>
            <w:r w:rsidR="007C18F9" w:rsidRPr="00677889">
              <w:rPr>
                <w:lang w:val="en-US"/>
              </w:rPr>
              <w:t>—</w:t>
            </w:r>
            <w:r w:rsidRPr="00677889">
              <w:rPr>
                <w:lang w:val="en-US"/>
              </w:rPr>
              <w:t>electronic and/or written.</w:t>
            </w:r>
          </w:p>
        </w:tc>
      </w:tr>
      <w:tr w:rsidR="00624805" w:rsidRPr="00677889" w14:paraId="78E2F15A" w14:textId="77777777" w:rsidTr="008114F3">
        <w:tc>
          <w:tcPr>
            <w:tcW w:w="3256" w:type="dxa"/>
          </w:tcPr>
          <w:p w14:paraId="632BB70A" w14:textId="77777777" w:rsidR="00624805" w:rsidRPr="00677889" w:rsidRDefault="00153293" w:rsidP="00624805">
            <w:pPr>
              <w:pStyle w:val="BodyText"/>
              <w:spacing w:before="120" w:after="120"/>
              <w:ind w:left="459" w:hanging="459"/>
              <w:rPr>
                <w:b/>
                <w:lang w:val="en-US"/>
              </w:rPr>
            </w:pPr>
            <w:r w:rsidRPr="00677889">
              <w:rPr>
                <w:b/>
                <w:lang w:val="en-US"/>
              </w:rPr>
              <w:t>3.2. Performs a clinical</w:t>
            </w:r>
            <w:r w:rsidR="00624805" w:rsidRPr="00677889">
              <w:rPr>
                <w:b/>
                <w:lang w:val="en-US"/>
              </w:rPr>
              <w:t xml:space="preserve"> examination </w:t>
            </w:r>
          </w:p>
        </w:tc>
        <w:tc>
          <w:tcPr>
            <w:tcW w:w="6044" w:type="dxa"/>
          </w:tcPr>
          <w:p w14:paraId="1F19F4C5" w14:textId="1FCBB9B8" w:rsidR="00624805" w:rsidRPr="00677889" w:rsidRDefault="00624805" w:rsidP="00624805">
            <w:pPr>
              <w:pStyle w:val="BodyText"/>
              <w:numPr>
                <w:ilvl w:val="0"/>
                <w:numId w:val="22"/>
              </w:numPr>
              <w:spacing w:before="120" w:after="120"/>
              <w:rPr>
                <w:lang w:val="en-US"/>
              </w:rPr>
            </w:pPr>
            <w:r w:rsidRPr="00677889">
              <w:rPr>
                <w:lang w:val="en-US"/>
              </w:rPr>
              <w:t>Explains need for and process of examination.</w:t>
            </w:r>
          </w:p>
          <w:p w14:paraId="41CFDFE4" w14:textId="5CC6BAFF" w:rsidR="00624805" w:rsidRPr="00677889" w:rsidRDefault="00624805" w:rsidP="00624805">
            <w:pPr>
              <w:pStyle w:val="BodyText"/>
              <w:numPr>
                <w:ilvl w:val="0"/>
                <w:numId w:val="22"/>
              </w:numPr>
              <w:spacing w:before="120" w:after="120"/>
              <w:rPr>
                <w:lang w:val="en-US"/>
              </w:rPr>
            </w:pPr>
            <w:r w:rsidRPr="00677889">
              <w:rPr>
                <w:lang w:val="en-US"/>
              </w:rPr>
              <w:t>Performs examinations relevant to patient</w:t>
            </w:r>
            <w:r w:rsidR="007C18F9" w:rsidRPr="00677889">
              <w:rPr>
                <w:lang w:val="en-US"/>
              </w:rPr>
              <w:t>s’</w:t>
            </w:r>
            <w:r w:rsidRPr="00677889">
              <w:rPr>
                <w:lang w:val="en-US"/>
              </w:rPr>
              <w:t xml:space="preserve"> presentation.</w:t>
            </w:r>
          </w:p>
          <w:p w14:paraId="5ECCFBC1" w14:textId="77777777" w:rsidR="00624805" w:rsidRPr="00677889" w:rsidRDefault="00624805" w:rsidP="00624805">
            <w:pPr>
              <w:pStyle w:val="BodyText"/>
              <w:numPr>
                <w:ilvl w:val="0"/>
                <w:numId w:val="22"/>
              </w:numPr>
              <w:spacing w:before="120" w:after="120"/>
              <w:rPr>
                <w:lang w:val="en-US"/>
              </w:rPr>
            </w:pPr>
            <w:r w:rsidRPr="00677889">
              <w:rPr>
                <w:lang w:val="en-US"/>
              </w:rPr>
              <w:t>Obtains consent and conducts physical examination with appropriate rapport</w:t>
            </w:r>
            <w:r w:rsidR="00153293" w:rsidRPr="00677889">
              <w:rPr>
                <w:lang w:val="en-US"/>
              </w:rPr>
              <w:t>, respect and preservation of modesty</w:t>
            </w:r>
            <w:r w:rsidRPr="00677889">
              <w:rPr>
                <w:lang w:val="en-US"/>
              </w:rPr>
              <w:t>.</w:t>
            </w:r>
          </w:p>
        </w:tc>
      </w:tr>
      <w:tr w:rsidR="00624805" w:rsidRPr="00677889" w14:paraId="0D24DB67" w14:textId="77777777" w:rsidTr="008114F3">
        <w:tc>
          <w:tcPr>
            <w:tcW w:w="3256" w:type="dxa"/>
          </w:tcPr>
          <w:p w14:paraId="35520C85" w14:textId="77777777" w:rsidR="00624805" w:rsidRPr="00677889" w:rsidRDefault="00624805" w:rsidP="00624805">
            <w:pPr>
              <w:pStyle w:val="BodyText"/>
              <w:spacing w:before="120" w:after="120"/>
              <w:ind w:left="459" w:hanging="459"/>
              <w:rPr>
                <w:b/>
                <w:lang w:val="en-US"/>
              </w:rPr>
            </w:pPr>
            <w:r w:rsidRPr="00677889">
              <w:rPr>
                <w:b/>
                <w:lang w:val="en-US"/>
              </w:rPr>
              <w:t>3.3 Obtains the results of clinical, laboratory and other diagnostic procedures necessary to inform care</w:t>
            </w:r>
          </w:p>
        </w:tc>
        <w:tc>
          <w:tcPr>
            <w:tcW w:w="6044" w:type="dxa"/>
          </w:tcPr>
          <w:p w14:paraId="27B729DA" w14:textId="77777777" w:rsidR="00624805" w:rsidRPr="00677889" w:rsidRDefault="00624805" w:rsidP="00624805">
            <w:pPr>
              <w:pStyle w:val="BodyText"/>
              <w:numPr>
                <w:ilvl w:val="0"/>
                <w:numId w:val="21"/>
              </w:numPr>
              <w:spacing w:before="120" w:after="120"/>
              <w:rPr>
                <w:lang w:val="en-US"/>
              </w:rPr>
            </w:pPr>
            <w:r w:rsidRPr="00677889">
              <w:rPr>
                <w:lang w:val="en-US"/>
              </w:rPr>
              <w:t>Identifies existing investigation results and reports.</w:t>
            </w:r>
          </w:p>
          <w:p w14:paraId="38CD5A60" w14:textId="69A4AE9D" w:rsidR="00624805" w:rsidRPr="00677889" w:rsidRDefault="00624805" w:rsidP="00624805">
            <w:pPr>
              <w:pStyle w:val="BodyText"/>
              <w:numPr>
                <w:ilvl w:val="0"/>
                <w:numId w:val="21"/>
              </w:numPr>
              <w:spacing w:before="120" w:after="120"/>
              <w:rPr>
                <w:lang w:val="en-US"/>
              </w:rPr>
            </w:pPr>
            <w:r w:rsidRPr="00677889">
              <w:rPr>
                <w:lang w:val="en-US"/>
              </w:rPr>
              <w:t>Determines clinical, laboratory and other diagnostic procedures relevant to patient</w:t>
            </w:r>
            <w:r w:rsidR="007C18F9" w:rsidRPr="00677889">
              <w:rPr>
                <w:lang w:val="en-US"/>
              </w:rPr>
              <w:t>s’</w:t>
            </w:r>
            <w:r w:rsidRPr="00677889">
              <w:rPr>
                <w:lang w:val="en-US"/>
              </w:rPr>
              <w:t xml:space="preserve"> presentation.</w:t>
            </w:r>
          </w:p>
          <w:p w14:paraId="3910E7F9" w14:textId="6DCBBB10" w:rsidR="001E526C" w:rsidRPr="00677889" w:rsidRDefault="001E526C" w:rsidP="001E526C">
            <w:pPr>
              <w:pStyle w:val="BodyText"/>
              <w:numPr>
                <w:ilvl w:val="0"/>
                <w:numId w:val="21"/>
              </w:numPr>
              <w:spacing w:before="120" w:after="120"/>
              <w:rPr>
                <w:lang w:val="en-US"/>
              </w:rPr>
            </w:pPr>
            <w:r w:rsidRPr="00677889">
              <w:rPr>
                <w:lang w:val="en-US"/>
              </w:rPr>
              <w:t>Refers for or conducts imaging where clinically indicated.</w:t>
            </w:r>
          </w:p>
          <w:p w14:paraId="589FFFCA" w14:textId="3308862C" w:rsidR="00624805" w:rsidRPr="00677889" w:rsidRDefault="00087A9A" w:rsidP="001E526C">
            <w:pPr>
              <w:pStyle w:val="BodyText"/>
              <w:numPr>
                <w:ilvl w:val="0"/>
                <w:numId w:val="21"/>
              </w:numPr>
              <w:spacing w:before="120" w:after="120"/>
              <w:rPr>
                <w:lang w:val="en-US"/>
              </w:rPr>
            </w:pPr>
            <w:r w:rsidRPr="00677889">
              <w:rPr>
                <w:lang w:val="en-US"/>
              </w:rPr>
              <w:t xml:space="preserve">Makes referrals or </w:t>
            </w:r>
            <w:r w:rsidR="001E526C" w:rsidRPr="00677889">
              <w:rPr>
                <w:lang w:val="en-US"/>
              </w:rPr>
              <w:t>obtain</w:t>
            </w:r>
            <w:r w:rsidRPr="00677889">
              <w:rPr>
                <w:lang w:val="en-US"/>
              </w:rPr>
              <w:t>s</w:t>
            </w:r>
            <w:r w:rsidR="001E526C" w:rsidRPr="00677889">
              <w:rPr>
                <w:lang w:val="en-US"/>
              </w:rPr>
              <w:t xml:space="preserve"> further information, where indicated.</w:t>
            </w:r>
          </w:p>
        </w:tc>
      </w:tr>
      <w:tr w:rsidR="009178D9" w:rsidRPr="00677889" w14:paraId="08FB7058" w14:textId="77777777" w:rsidTr="008114F3">
        <w:tc>
          <w:tcPr>
            <w:tcW w:w="3256" w:type="dxa"/>
          </w:tcPr>
          <w:p w14:paraId="5A01AAED" w14:textId="77777777" w:rsidR="009178D9" w:rsidRPr="00677889" w:rsidRDefault="009178D9" w:rsidP="00624805">
            <w:pPr>
              <w:pStyle w:val="BodyText"/>
              <w:spacing w:before="120" w:after="120"/>
              <w:ind w:left="459" w:hanging="459"/>
              <w:rPr>
                <w:b/>
                <w:lang w:val="en-US"/>
              </w:rPr>
            </w:pPr>
            <w:r w:rsidRPr="00677889">
              <w:rPr>
                <w:b/>
                <w:lang w:val="en-US"/>
              </w:rPr>
              <w:t>3.4 Recognises determinants of health</w:t>
            </w:r>
          </w:p>
        </w:tc>
        <w:tc>
          <w:tcPr>
            <w:tcW w:w="6044" w:type="dxa"/>
          </w:tcPr>
          <w:p w14:paraId="0D071BE5" w14:textId="3BD44295" w:rsidR="009178D9" w:rsidRPr="00677889" w:rsidRDefault="009178D9" w:rsidP="00624805">
            <w:pPr>
              <w:pStyle w:val="BodyText"/>
              <w:numPr>
                <w:ilvl w:val="0"/>
                <w:numId w:val="21"/>
              </w:numPr>
              <w:spacing w:before="120" w:after="120"/>
              <w:rPr>
                <w:lang w:val="en-US"/>
              </w:rPr>
            </w:pPr>
            <w:r w:rsidRPr="00677889">
              <w:rPr>
                <w:lang w:val="en-US"/>
              </w:rPr>
              <w:t xml:space="preserve">Identifies </w:t>
            </w:r>
            <w:r w:rsidR="001E526C" w:rsidRPr="00677889">
              <w:rPr>
                <w:lang w:val="en-US"/>
              </w:rPr>
              <w:t xml:space="preserve">and considers </w:t>
            </w:r>
            <w:r w:rsidRPr="00677889">
              <w:rPr>
                <w:lang w:val="en-US"/>
              </w:rPr>
              <w:t>determinants of health, including psychological, biological, social, cultural, environmental, educational, and economic determinants, as well as health</w:t>
            </w:r>
            <w:r w:rsidR="007C18F9" w:rsidRPr="00677889">
              <w:rPr>
                <w:lang w:val="en-US"/>
              </w:rPr>
              <w:t>-</w:t>
            </w:r>
            <w:r w:rsidRPr="00677889">
              <w:rPr>
                <w:lang w:val="en-US"/>
              </w:rPr>
              <w:t>care system factors</w:t>
            </w:r>
            <w:r w:rsidR="008C176B" w:rsidRPr="00677889">
              <w:rPr>
                <w:lang w:val="en-US"/>
              </w:rPr>
              <w:t>.</w:t>
            </w:r>
          </w:p>
          <w:p w14:paraId="64C5D2D7" w14:textId="77777777" w:rsidR="004138F9" w:rsidRPr="00677889" w:rsidRDefault="004138F9" w:rsidP="004138F9">
            <w:pPr>
              <w:pStyle w:val="ListParagraph"/>
              <w:numPr>
                <w:ilvl w:val="0"/>
                <w:numId w:val="21"/>
              </w:numPr>
              <w:rPr>
                <w:szCs w:val="21"/>
                <w:lang w:val="en-US"/>
              </w:rPr>
            </w:pPr>
            <w:r w:rsidRPr="00677889">
              <w:rPr>
                <w:szCs w:val="21"/>
                <w:lang w:val="en-US"/>
              </w:rPr>
              <w:t xml:space="preserve">Demonstrates knowledge of aetiology, pathology, clinical features, natural history and prognosis for common and important presentations. </w:t>
            </w:r>
          </w:p>
          <w:p w14:paraId="14367A38" w14:textId="77777777" w:rsidR="009178D9" w:rsidRPr="00677889" w:rsidRDefault="00153293" w:rsidP="00624805">
            <w:pPr>
              <w:pStyle w:val="BodyText"/>
              <w:numPr>
                <w:ilvl w:val="0"/>
                <w:numId w:val="21"/>
              </w:numPr>
              <w:spacing w:before="120" w:after="120"/>
              <w:rPr>
                <w:lang w:val="en-US"/>
              </w:rPr>
            </w:pPr>
            <w:r w:rsidRPr="00677889">
              <w:rPr>
                <w:lang w:val="en-US"/>
              </w:rPr>
              <w:t>Recognises</w:t>
            </w:r>
            <w:r w:rsidR="009178D9" w:rsidRPr="00677889">
              <w:rPr>
                <w:lang w:val="en-US"/>
              </w:rPr>
              <w:t xml:space="preserve"> </w:t>
            </w:r>
            <w:r w:rsidR="001E526C" w:rsidRPr="00677889">
              <w:rPr>
                <w:lang w:val="en-US"/>
              </w:rPr>
              <w:t xml:space="preserve">and responds to </w:t>
            </w:r>
            <w:r w:rsidR="009178D9" w:rsidRPr="00677889">
              <w:rPr>
                <w:lang w:val="en-US"/>
              </w:rPr>
              <w:t>public health priorities</w:t>
            </w:r>
            <w:r w:rsidR="008C176B" w:rsidRPr="00677889">
              <w:rPr>
                <w:lang w:val="en-US"/>
              </w:rPr>
              <w:t>.</w:t>
            </w:r>
          </w:p>
        </w:tc>
      </w:tr>
      <w:tr w:rsidR="00624805" w:rsidRPr="00677889" w14:paraId="78824B30" w14:textId="77777777" w:rsidTr="008114F3">
        <w:tc>
          <w:tcPr>
            <w:tcW w:w="3256" w:type="dxa"/>
          </w:tcPr>
          <w:p w14:paraId="311183B6" w14:textId="340735D1" w:rsidR="00624805" w:rsidRPr="00677889" w:rsidRDefault="00624805" w:rsidP="007C18F9">
            <w:pPr>
              <w:pStyle w:val="BodyText"/>
              <w:spacing w:before="120" w:after="120"/>
              <w:ind w:left="459" w:hanging="459"/>
              <w:rPr>
                <w:b/>
                <w:lang w:val="en-US"/>
              </w:rPr>
            </w:pPr>
            <w:r w:rsidRPr="00677889">
              <w:rPr>
                <w:b/>
                <w:lang w:val="en-US"/>
              </w:rPr>
              <w:lastRenderedPageBreak/>
              <w:t>3.</w:t>
            </w:r>
            <w:r w:rsidR="009178D9" w:rsidRPr="00677889">
              <w:rPr>
                <w:b/>
                <w:lang w:val="en-US"/>
              </w:rPr>
              <w:t>5</w:t>
            </w:r>
            <w:r w:rsidRPr="00677889">
              <w:rPr>
                <w:b/>
                <w:lang w:val="en-US"/>
              </w:rPr>
              <w:t xml:space="preserve"> Critically analyses information available to generate a clinical impression</w:t>
            </w:r>
          </w:p>
        </w:tc>
        <w:tc>
          <w:tcPr>
            <w:tcW w:w="6044" w:type="dxa"/>
          </w:tcPr>
          <w:p w14:paraId="07F6A940" w14:textId="13A863A0" w:rsidR="001E526C" w:rsidRPr="00677889" w:rsidRDefault="001E526C" w:rsidP="001E526C">
            <w:pPr>
              <w:pStyle w:val="ListParagraph"/>
              <w:numPr>
                <w:ilvl w:val="0"/>
                <w:numId w:val="21"/>
              </w:numPr>
              <w:rPr>
                <w:szCs w:val="21"/>
                <w:lang w:val="en-US"/>
              </w:rPr>
            </w:pPr>
            <w:r w:rsidRPr="00677889">
              <w:rPr>
                <w:szCs w:val="21"/>
                <w:lang w:val="en-US"/>
              </w:rPr>
              <w:t>Demonstrates knowledge of diagnostic imaging techniques and procedures</w:t>
            </w:r>
            <w:r w:rsidR="007C18F9" w:rsidRPr="00677889">
              <w:rPr>
                <w:szCs w:val="21"/>
                <w:lang w:val="en-US"/>
              </w:rPr>
              <w:t>,</w:t>
            </w:r>
            <w:r w:rsidRPr="00677889">
              <w:rPr>
                <w:szCs w:val="21"/>
                <w:lang w:val="en-US"/>
              </w:rPr>
              <w:t xml:space="preserve"> including indications and limitations of available imaging modalities.</w:t>
            </w:r>
          </w:p>
          <w:p w14:paraId="1CC79E58" w14:textId="77777777" w:rsidR="00624805" w:rsidRPr="00677889" w:rsidRDefault="00624805" w:rsidP="00624805">
            <w:pPr>
              <w:pStyle w:val="BodyText"/>
              <w:numPr>
                <w:ilvl w:val="0"/>
                <w:numId w:val="21"/>
              </w:numPr>
              <w:spacing w:before="120" w:after="120"/>
              <w:rPr>
                <w:lang w:val="en-US"/>
              </w:rPr>
            </w:pPr>
            <w:r w:rsidRPr="00677889">
              <w:rPr>
                <w:lang w:val="en-US"/>
              </w:rPr>
              <w:t xml:space="preserve">Interprets </w:t>
            </w:r>
            <w:r w:rsidR="001E526C" w:rsidRPr="00677889">
              <w:rPr>
                <w:lang w:val="en-US"/>
              </w:rPr>
              <w:t xml:space="preserve">and integrates </w:t>
            </w:r>
            <w:r w:rsidRPr="00677889">
              <w:rPr>
                <w:lang w:val="en-US"/>
              </w:rPr>
              <w:t>results of clinical, laboratory and diagnostic procedures</w:t>
            </w:r>
            <w:r w:rsidR="001E526C" w:rsidRPr="00677889">
              <w:rPr>
                <w:lang w:val="en-US"/>
              </w:rPr>
              <w:t xml:space="preserve"> into care planning</w:t>
            </w:r>
            <w:r w:rsidRPr="00677889">
              <w:rPr>
                <w:lang w:val="en-US"/>
              </w:rPr>
              <w:t>.</w:t>
            </w:r>
          </w:p>
          <w:p w14:paraId="3112623F" w14:textId="1CA45FC9" w:rsidR="00624805" w:rsidRPr="00677889" w:rsidRDefault="00624805" w:rsidP="00624805">
            <w:pPr>
              <w:pStyle w:val="BodyText"/>
              <w:numPr>
                <w:ilvl w:val="0"/>
                <w:numId w:val="21"/>
              </w:numPr>
              <w:spacing w:before="120" w:after="120"/>
              <w:rPr>
                <w:lang w:val="en-US"/>
              </w:rPr>
            </w:pPr>
            <w:r w:rsidRPr="00677889">
              <w:rPr>
                <w:lang w:val="en-US"/>
              </w:rPr>
              <w:t>Forms an understanding of patient</w:t>
            </w:r>
            <w:r w:rsidR="007C18F9" w:rsidRPr="00677889">
              <w:rPr>
                <w:lang w:val="en-US"/>
              </w:rPr>
              <w:t>s’</w:t>
            </w:r>
            <w:r w:rsidRPr="00677889">
              <w:rPr>
                <w:lang w:val="en-US"/>
              </w:rPr>
              <w:t xml:space="preserve"> health status and/or</w:t>
            </w:r>
            <w:r w:rsidR="00153293" w:rsidRPr="00677889">
              <w:rPr>
                <w:lang w:val="en-US"/>
              </w:rPr>
              <w:t xml:space="preserve"> identifies possible diagnoses.</w:t>
            </w:r>
          </w:p>
          <w:p w14:paraId="294FE148" w14:textId="77777777" w:rsidR="00624805" w:rsidRPr="00677889" w:rsidRDefault="00624805" w:rsidP="00624805">
            <w:pPr>
              <w:pStyle w:val="BodyText"/>
              <w:numPr>
                <w:ilvl w:val="0"/>
                <w:numId w:val="21"/>
              </w:numPr>
              <w:spacing w:before="120" w:after="120"/>
              <w:rPr>
                <w:lang w:val="en-US"/>
              </w:rPr>
            </w:pPr>
            <w:r w:rsidRPr="00677889">
              <w:rPr>
                <w:lang w:val="en-US"/>
              </w:rPr>
              <w:t>Identifies ‘red flags’</w:t>
            </w:r>
            <w:r w:rsidR="001E526C" w:rsidRPr="00677889">
              <w:rPr>
                <w:lang w:val="en-US"/>
              </w:rPr>
              <w:t xml:space="preserve"> and </w:t>
            </w:r>
            <w:r w:rsidR="00153293" w:rsidRPr="00677889">
              <w:rPr>
                <w:lang w:val="en-US"/>
              </w:rPr>
              <w:t xml:space="preserve">manages and/or </w:t>
            </w:r>
            <w:r w:rsidR="001E526C" w:rsidRPr="00677889">
              <w:rPr>
                <w:lang w:val="en-US"/>
              </w:rPr>
              <w:t>refers as appropriate</w:t>
            </w:r>
            <w:r w:rsidRPr="00677889">
              <w:rPr>
                <w:lang w:val="en-US"/>
              </w:rPr>
              <w:t>.</w:t>
            </w:r>
          </w:p>
        </w:tc>
      </w:tr>
    </w:tbl>
    <w:p w14:paraId="398B6DF1" w14:textId="77777777" w:rsidR="0004685B" w:rsidRPr="00677889" w:rsidRDefault="0004685B">
      <w:pPr>
        <w:sectPr w:rsidR="0004685B" w:rsidRPr="00677889" w:rsidSect="006702C1">
          <w:headerReference w:type="even" r:id="rId35"/>
          <w:headerReference w:type="default" r:id="rId36"/>
          <w:headerReference w:type="first" r:id="rId37"/>
          <w:footerReference w:type="first" r:id="rId38"/>
          <w:type w:val="continuous"/>
          <w:pgSz w:w="11907" w:h="16839" w:code="9"/>
          <w:pgMar w:top="1440" w:right="1440" w:bottom="1440" w:left="1440" w:header="720" w:footer="720" w:gutter="0"/>
          <w:cols w:space="720"/>
          <w:docGrid w:linePitch="360"/>
        </w:sectPr>
      </w:pPr>
    </w:p>
    <w:tbl>
      <w:tblPr>
        <w:tblStyle w:val="TableGrid"/>
        <w:tblW w:w="9240" w:type="dxa"/>
        <w:tblLook w:val="04A0" w:firstRow="1" w:lastRow="0" w:firstColumn="1" w:lastColumn="0" w:noHBand="0" w:noVBand="1"/>
      </w:tblPr>
      <w:tblGrid>
        <w:gridCol w:w="9240"/>
      </w:tblGrid>
      <w:tr w:rsidR="00624805" w:rsidRPr="00677889" w14:paraId="649DB164" w14:textId="77777777" w:rsidTr="0004685B">
        <w:tc>
          <w:tcPr>
            <w:tcW w:w="9240" w:type="dxa"/>
            <w:tcBorders>
              <w:top w:val="thinThickThinSmallGap" w:sz="24" w:space="0" w:color="DCE4F1" w:themeColor="accent5" w:themeTint="33"/>
              <w:left w:val="thinThickThinSmallGap" w:sz="24" w:space="0" w:color="DCE4F1" w:themeColor="accent5" w:themeTint="33"/>
              <w:bottom w:val="thinThickThinSmallGap" w:sz="24" w:space="0" w:color="DCE4F1" w:themeColor="accent5" w:themeTint="33"/>
              <w:right w:val="thinThickThinSmallGap" w:sz="24" w:space="0" w:color="DCE4F1" w:themeColor="accent5" w:themeTint="33"/>
            </w:tcBorders>
            <w:shd w:val="clear" w:color="auto" w:fill="DCE4F1" w:themeFill="accent5" w:themeFillTint="33"/>
          </w:tcPr>
          <w:p w14:paraId="350599FB" w14:textId="77777777" w:rsidR="00624805" w:rsidRPr="00677889" w:rsidRDefault="00624805" w:rsidP="00624805">
            <w:pPr>
              <w:pStyle w:val="Heading2"/>
              <w:spacing w:before="240"/>
              <w:ind w:left="255"/>
              <w:outlineLvl w:val="1"/>
              <w:rPr>
                <w:color w:val="375992" w:themeColor="accent5" w:themeShade="BF"/>
                <w:sz w:val="22"/>
                <w:szCs w:val="22"/>
                <w:lang w:val="en-US"/>
              </w:rPr>
            </w:pPr>
            <w:bookmarkStart w:id="104" w:name="_Toc446242287"/>
            <w:r w:rsidRPr="00677889">
              <w:rPr>
                <w:color w:val="375992" w:themeColor="accent5" w:themeShade="BF"/>
                <w:sz w:val="22"/>
                <w:szCs w:val="22"/>
                <w:lang w:val="en-US"/>
              </w:rPr>
              <w:lastRenderedPageBreak/>
              <w:t>PRACTICE COMPETENCY 4 – PLANNING CARE</w:t>
            </w:r>
            <w:bookmarkEnd w:id="104"/>
          </w:p>
          <w:p w14:paraId="32F10D73" w14:textId="227E7699" w:rsidR="00624805" w:rsidRPr="00677889" w:rsidRDefault="00624805" w:rsidP="007C18F9">
            <w:pPr>
              <w:pStyle w:val="BodyText"/>
              <w:ind w:left="258"/>
              <w:rPr>
                <w:b/>
                <w:sz w:val="24"/>
                <w:szCs w:val="24"/>
                <w:lang w:val="en-US"/>
              </w:rPr>
            </w:pPr>
            <w:r w:rsidRPr="00677889">
              <w:rPr>
                <w:color w:val="375992" w:themeColor="accent5" w:themeShade="BF"/>
                <w:sz w:val="22"/>
                <w:szCs w:val="22"/>
                <w:lang w:val="en-US"/>
              </w:rPr>
              <w:t>Works in collaboration with pat</w:t>
            </w:r>
            <w:r w:rsidR="00DF51E0" w:rsidRPr="00677889">
              <w:rPr>
                <w:color w:val="375992" w:themeColor="accent5" w:themeShade="BF"/>
                <w:sz w:val="22"/>
                <w:szCs w:val="22"/>
                <w:lang w:val="en-US"/>
              </w:rPr>
              <w:t>ient</w:t>
            </w:r>
            <w:r w:rsidR="007C18F9" w:rsidRPr="00677889">
              <w:rPr>
                <w:color w:val="375992" w:themeColor="accent5" w:themeShade="BF"/>
                <w:sz w:val="22"/>
                <w:szCs w:val="22"/>
                <w:lang w:val="en-US"/>
              </w:rPr>
              <w:t>s</w:t>
            </w:r>
            <w:r w:rsidR="00DF51E0" w:rsidRPr="00677889">
              <w:rPr>
                <w:color w:val="375992" w:themeColor="accent5" w:themeShade="BF"/>
                <w:sz w:val="22"/>
                <w:szCs w:val="22"/>
                <w:lang w:val="en-US"/>
              </w:rPr>
              <w:t>, exploring</w:t>
            </w:r>
            <w:r w:rsidRPr="00677889">
              <w:rPr>
                <w:color w:val="375992" w:themeColor="accent5" w:themeShade="BF"/>
                <w:sz w:val="22"/>
                <w:szCs w:val="22"/>
                <w:lang w:val="en-US"/>
              </w:rPr>
              <w:t xml:space="preserve"> the care options available and develop</w:t>
            </w:r>
            <w:r w:rsidR="00DF51E0" w:rsidRPr="00677889">
              <w:rPr>
                <w:color w:val="375992" w:themeColor="accent5" w:themeShade="BF"/>
                <w:sz w:val="22"/>
                <w:szCs w:val="22"/>
                <w:lang w:val="en-US"/>
              </w:rPr>
              <w:t>ing</w:t>
            </w:r>
            <w:r w:rsidRPr="00677889">
              <w:rPr>
                <w:color w:val="375992" w:themeColor="accent5" w:themeShade="BF"/>
                <w:sz w:val="22"/>
                <w:szCs w:val="22"/>
                <w:lang w:val="en-US"/>
              </w:rPr>
              <w:t xml:space="preserve"> agreed, evidence</w:t>
            </w:r>
            <w:r w:rsidR="007C18F9" w:rsidRPr="00677889">
              <w:rPr>
                <w:color w:val="375992" w:themeColor="accent5" w:themeShade="BF"/>
                <w:sz w:val="22"/>
                <w:szCs w:val="22"/>
                <w:lang w:val="en-US"/>
              </w:rPr>
              <w:t>-</w:t>
            </w:r>
            <w:r w:rsidRPr="00677889">
              <w:rPr>
                <w:color w:val="375992" w:themeColor="accent5" w:themeShade="BF"/>
                <w:sz w:val="22"/>
                <w:szCs w:val="22"/>
                <w:lang w:val="en-US"/>
              </w:rPr>
              <w:t>based care and management plan</w:t>
            </w:r>
            <w:r w:rsidR="007C18F9" w:rsidRPr="00677889">
              <w:rPr>
                <w:color w:val="375992" w:themeColor="accent5" w:themeShade="BF"/>
                <w:sz w:val="22"/>
                <w:szCs w:val="22"/>
                <w:lang w:val="en-US"/>
              </w:rPr>
              <w:t>s</w:t>
            </w:r>
            <w:r w:rsidRPr="00677889">
              <w:rPr>
                <w:color w:val="375992" w:themeColor="accent5" w:themeShade="BF"/>
                <w:sz w:val="22"/>
                <w:szCs w:val="22"/>
                <w:lang w:val="en-US"/>
              </w:rPr>
              <w:t>.</w:t>
            </w:r>
          </w:p>
        </w:tc>
      </w:tr>
    </w:tbl>
    <w:p w14:paraId="10AB4783" w14:textId="77777777" w:rsidR="00624805" w:rsidRPr="00677889" w:rsidRDefault="00624805" w:rsidP="009178D9">
      <w:pPr>
        <w:pStyle w:val="BodyText"/>
        <w:rPr>
          <w:sz w:val="24"/>
          <w:szCs w:val="24"/>
          <w:lang w:val="en-US"/>
        </w:rPr>
      </w:pPr>
    </w:p>
    <w:tbl>
      <w:tblPr>
        <w:tblStyle w:val="TableGrid"/>
        <w:tblW w:w="935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256"/>
        <w:gridCol w:w="6095"/>
      </w:tblGrid>
      <w:tr w:rsidR="00624805" w:rsidRPr="00677889" w14:paraId="28CA57C5" w14:textId="77777777" w:rsidTr="009D2A30">
        <w:trPr>
          <w:tblHeader/>
        </w:trPr>
        <w:tc>
          <w:tcPr>
            <w:tcW w:w="3256" w:type="dxa"/>
          </w:tcPr>
          <w:p w14:paraId="15E31B93" w14:textId="77777777" w:rsidR="00624805" w:rsidRPr="00677889" w:rsidRDefault="00624805" w:rsidP="00624805">
            <w:pPr>
              <w:pStyle w:val="Heading3"/>
              <w:numPr>
                <w:ilvl w:val="0"/>
                <w:numId w:val="0"/>
              </w:numPr>
              <w:spacing w:before="120" w:after="120"/>
              <w:ind w:left="318" w:hanging="318"/>
              <w:jc w:val="center"/>
              <w:outlineLvl w:val="2"/>
              <w:rPr>
                <w:lang w:val="en-US"/>
              </w:rPr>
            </w:pPr>
            <w:bookmarkStart w:id="105" w:name="_Toc435716101"/>
            <w:bookmarkStart w:id="106" w:name="_Toc435728917"/>
            <w:bookmarkStart w:id="107" w:name="_Toc437248429"/>
            <w:bookmarkStart w:id="108" w:name="_Toc444178140"/>
            <w:bookmarkStart w:id="109" w:name="_Toc446242288"/>
            <w:r w:rsidRPr="00677889">
              <w:rPr>
                <w:lang w:val="en-US" w:eastAsia="en-US"/>
              </w:rPr>
              <w:t>ELEMENTS</w:t>
            </w:r>
            <w:bookmarkEnd w:id="105"/>
            <w:bookmarkEnd w:id="106"/>
            <w:bookmarkEnd w:id="107"/>
            <w:bookmarkEnd w:id="108"/>
            <w:bookmarkEnd w:id="109"/>
          </w:p>
        </w:tc>
        <w:tc>
          <w:tcPr>
            <w:tcW w:w="6095" w:type="dxa"/>
          </w:tcPr>
          <w:p w14:paraId="44A5859B" w14:textId="77777777" w:rsidR="00624805" w:rsidRPr="00677889" w:rsidRDefault="00624805" w:rsidP="00624805">
            <w:pPr>
              <w:pStyle w:val="Heading3"/>
              <w:numPr>
                <w:ilvl w:val="0"/>
                <w:numId w:val="0"/>
              </w:numPr>
              <w:spacing w:before="120" w:after="120"/>
              <w:outlineLvl w:val="2"/>
              <w:rPr>
                <w:lang w:val="en-US"/>
              </w:rPr>
            </w:pPr>
            <w:r w:rsidRPr="00677889">
              <w:rPr>
                <w:lang w:val="en-US" w:eastAsia="en-US"/>
              </w:rPr>
              <w:tab/>
            </w:r>
            <w:r w:rsidRPr="00677889">
              <w:rPr>
                <w:lang w:val="en-US" w:eastAsia="en-US"/>
              </w:rPr>
              <w:tab/>
            </w:r>
            <w:bookmarkStart w:id="110" w:name="_Toc435716102"/>
            <w:bookmarkStart w:id="111" w:name="_Toc435728918"/>
            <w:bookmarkStart w:id="112" w:name="_Toc437248430"/>
            <w:bookmarkStart w:id="113" w:name="_Toc444178141"/>
            <w:bookmarkStart w:id="114" w:name="_Toc446242289"/>
            <w:r w:rsidRPr="00677889">
              <w:rPr>
                <w:lang w:val="en-US" w:eastAsia="en-US"/>
              </w:rPr>
              <w:t>PERFORMANCE</w:t>
            </w:r>
            <w:r w:rsidRPr="00677889">
              <w:rPr>
                <w:lang w:val="en-US"/>
              </w:rPr>
              <w:t xml:space="preserve"> CRITERIA</w:t>
            </w:r>
            <w:bookmarkEnd w:id="110"/>
            <w:bookmarkEnd w:id="111"/>
            <w:bookmarkEnd w:id="112"/>
            <w:bookmarkEnd w:id="113"/>
            <w:bookmarkEnd w:id="114"/>
          </w:p>
          <w:p w14:paraId="1D0375C9" w14:textId="77777777" w:rsidR="00624805" w:rsidRPr="00677889" w:rsidRDefault="00624805" w:rsidP="00624805">
            <w:pPr>
              <w:pStyle w:val="BodyText"/>
              <w:spacing w:before="120" w:after="120"/>
              <w:rPr>
                <w:lang w:val="en-US"/>
              </w:rPr>
            </w:pPr>
            <w:r w:rsidRPr="00677889">
              <w:rPr>
                <w:lang w:val="en-US"/>
              </w:rPr>
              <w:t>On graduation, a chiropractor:</w:t>
            </w:r>
          </w:p>
        </w:tc>
      </w:tr>
      <w:tr w:rsidR="00624805" w:rsidRPr="00677889" w14:paraId="7C8C672D" w14:textId="77777777" w:rsidTr="009D2A30">
        <w:tc>
          <w:tcPr>
            <w:tcW w:w="3256" w:type="dxa"/>
          </w:tcPr>
          <w:p w14:paraId="7595D96F" w14:textId="77777777" w:rsidR="00624805" w:rsidRPr="00677889" w:rsidRDefault="00624805" w:rsidP="00624805">
            <w:pPr>
              <w:pStyle w:val="BodyText"/>
              <w:spacing w:before="120" w:after="120"/>
              <w:ind w:left="318" w:hanging="318"/>
              <w:rPr>
                <w:b/>
                <w:lang w:val="en-US"/>
              </w:rPr>
            </w:pPr>
            <w:r w:rsidRPr="00677889">
              <w:rPr>
                <w:b/>
                <w:lang w:val="en-US"/>
              </w:rPr>
              <w:t>4.1 Identifies possible care and management options</w:t>
            </w:r>
          </w:p>
        </w:tc>
        <w:tc>
          <w:tcPr>
            <w:tcW w:w="6095" w:type="dxa"/>
          </w:tcPr>
          <w:p w14:paraId="10C3725C" w14:textId="77777777" w:rsidR="00CC64FE" w:rsidRPr="00677889" w:rsidRDefault="00CC64FE" w:rsidP="000A16A8">
            <w:pPr>
              <w:pStyle w:val="BodyText"/>
              <w:numPr>
                <w:ilvl w:val="0"/>
                <w:numId w:val="22"/>
              </w:numPr>
              <w:spacing w:before="120" w:after="120"/>
              <w:ind w:left="357" w:hanging="357"/>
            </w:pPr>
            <w:r w:rsidRPr="00677889">
              <w:t xml:space="preserve">Integrates knowledge of chiropractic and other health sciences to inform decisions about care and management options. </w:t>
            </w:r>
          </w:p>
          <w:p w14:paraId="3506F0CA" w14:textId="77777777" w:rsidR="00CC64FE" w:rsidRPr="00677889" w:rsidRDefault="00CC64FE" w:rsidP="000A16A8">
            <w:pPr>
              <w:pStyle w:val="BodyText"/>
              <w:numPr>
                <w:ilvl w:val="0"/>
                <w:numId w:val="22"/>
              </w:numPr>
              <w:spacing w:before="120" w:after="120"/>
              <w:ind w:left="357" w:hanging="357"/>
            </w:pPr>
            <w:r w:rsidRPr="00677889">
              <w:t>Obtains, interprets and applies current evidence and information to inform decisions about care and management options.</w:t>
            </w:r>
          </w:p>
          <w:p w14:paraId="66504627" w14:textId="42513A71" w:rsidR="00CC64FE" w:rsidRPr="00677889" w:rsidRDefault="00CC64FE" w:rsidP="000A16A8">
            <w:pPr>
              <w:pStyle w:val="BodyText"/>
              <w:numPr>
                <w:ilvl w:val="0"/>
                <w:numId w:val="22"/>
              </w:numPr>
              <w:spacing w:before="120" w:after="120"/>
              <w:ind w:left="357" w:hanging="357"/>
            </w:pPr>
            <w:r w:rsidRPr="00677889">
              <w:t>Identifies care and management options likely to be therapeutically effective and safe for patient</w:t>
            </w:r>
            <w:r w:rsidR="000F1485" w:rsidRPr="00677889">
              <w:t>s</w:t>
            </w:r>
            <w:r w:rsidRPr="00677889">
              <w:t xml:space="preserve">. </w:t>
            </w:r>
          </w:p>
          <w:p w14:paraId="30A03F07" w14:textId="4756825D" w:rsidR="00CC64FE" w:rsidRPr="00677889" w:rsidRDefault="00CC64FE" w:rsidP="000A16A8">
            <w:pPr>
              <w:pStyle w:val="BodyText"/>
              <w:numPr>
                <w:ilvl w:val="0"/>
                <w:numId w:val="22"/>
              </w:numPr>
              <w:spacing w:before="120" w:after="120"/>
              <w:ind w:left="357" w:hanging="357"/>
            </w:pPr>
            <w:r w:rsidRPr="00677889">
              <w:t>Adapts practice according to varying patient needs across the human lifespan, including need for ca</w:t>
            </w:r>
            <w:r w:rsidR="00B36FE3" w:rsidRPr="00677889">
              <w:t>re and management options to be tailored for patients</w:t>
            </w:r>
            <w:r w:rsidRPr="00677889">
              <w:t>.</w:t>
            </w:r>
          </w:p>
          <w:p w14:paraId="0E9EC8DC" w14:textId="0AD217F1" w:rsidR="00624805" w:rsidRPr="00677889" w:rsidRDefault="00CC64FE" w:rsidP="00B36FE3">
            <w:pPr>
              <w:pStyle w:val="BodyText"/>
              <w:numPr>
                <w:ilvl w:val="0"/>
                <w:numId w:val="22"/>
              </w:numPr>
              <w:spacing w:before="120" w:after="120"/>
              <w:ind w:left="357" w:hanging="357"/>
              <w:rPr>
                <w:lang w:val="en-US"/>
              </w:rPr>
            </w:pPr>
            <w:r w:rsidRPr="00677889">
              <w:t xml:space="preserve">Considers opportunities to enhance </w:t>
            </w:r>
            <w:r w:rsidR="00B36FE3" w:rsidRPr="00677889">
              <w:t xml:space="preserve">patients’ </w:t>
            </w:r>
            <w:r w:rsidRPr="00677889">
              <w:t>care and management through the involvement of other health professionals.</w:t>
            </w:r>
          </w:p>
        </w:tc>
      </w:tr>
      <w:tr w:rsidR="00624805" w:rsidRPr="00677889" w14:paraId="6FEFE4B8" w14:textId="77777777" w:rsidTr="009D2A30">
        <w:tc>
          <w:tcPr>
            <w:tcW w:w="3256" w:type="dxa"/>
          </w:tcPr>
          <w:p w14:paraId="315F1F96" w14:textId="77777777" w:rsidR="00624805" w:rsidRPr="00677889" w:rsidRDefault="00624805" w:rsidP="00624805">
            <w:pPr>
              <w:pStyle w:val="BodyText"/>
              <w:spacing w:before="120" w:after="120"/>
              <w:ind w:left="318" w:hanging="318"/>
              <w:rPr>
                <w:b/>
                <w:lang w:val="en-US"/>
              </w:rPr>
            </w:pPr>
            <w:r w:rsidRPr="00677889">
              <w:rPr>
                <w:b/>
                <w:lang w:val="en-US"/>
              </w:rPr>
              <w:t>4.2 Discusses care and management options</w:t>
            </w:r>
          </w:p>
        </w:tc>
        <w:tc>
          <w:tcPr>
            <w:tcW w:w="6095" w:type="dxa"/>
          </w:tcPr>
          <w:p w14:paraId="294B893F" w14:textId="4076ED68" w:rsidR="00624805" w:rsidRPr="00677889" w:rsidRDefault="00624805" w:rsidP="000B0D1F">
            <w:pPr>
              <w:pStyle w:val="BodyText"/>
              <w:numPr>
                <w:ilvl w:val="0"/>
                <w:numId w:val="22"/>
              </w:numPr>
              <w:spacing w:before="120" w:after="120"/>
              <w:ind w:left="357" w:hanging="357"/>
            </w:pPr>
            <w:r w:rsidRPr="00677889">
              <w:t>Explains and discusses the outcomes and implications of the clinical assessment with the patient</w:t>
            </w:r>
            <w:r w:rsidR="000F1485" w:rsidRPr="00677889">
              <w:t>s</w:t>
            </w:r>
            <w:r w:rsidRPr="00677889">
              <w:t>.</w:t>
            </w:r>
          </w:p>
          <w:p w14:paraId="51DD01DD" w14:textId="691E3B03" w:rsidR="00624805" w:rsidRPr="00677889" w:rsidRDefault="00624805" w:rsidP="000B0D1F">
            <w:pPr>
              <w:pStyle w:val="BodyText"/>
              <w:numPr>
                <w:ilvl w:val="0"/>
                <w:numId w:val="22"/>
              </w:numPr>
              <w:spacing w:before="120" w:after="120"/>
            </w:pPr>
            <w:r w:rsidRPr="00677889">
              <w:t>Discusses purpose, nature</w:t>
            </w:r>
            <w:r w:rsidR="00701908" w:rsidRPr="00677889">
              <w:t>, benefits, risks</w:t>
            </w:r>
            <w:r w:rsidRPr="00677889">
              <w:t xml:space="preserve"> and expected outcomes of care and management with patient</w:t>
            </w:r>
            <w:r w:rsidR="000F1485" w:rsidRPr="00677889">
              <w:t>s</w:t>
            </w:r>
            <w:r w:rsidRPr="00677889">
              <w:t xml:space="preserve"> and others.</w:t>
            </w:r>
          </w:p>
          <w:p w14:paraId="269D5C2B" w14:textId="41017BC3" w:rsidR="00624805" w:rsidRPr="00677889" w:rsidRDefault="00624805" w:rsidP="000B0D1F">
            <w:pPr>
              <w:pStyle w:val="BodyText"/>
              <w:numPr>
                <w:ilvl w:val="0"/>
                <w:numId w:val="22"/>
              </w:numPr>
              <w:spacing w:before="120" w:after="120"/>
              <w:rPr>
                <w:lang w:val="en-US"/>
              </w:rPr>
            </w:pPr>
            <w:r w:rsidRPr="00677889">
              <w:rPr>
                <w:lang w:val="en-US"/>
              </w:rPr>
              <w:t>Discusses and seeks agreement with patient</w:t>
            </w:r>
            <w:r w:rsidR="000F1485" w:rsidRPr="00677889">
              <w:rPr>
                <w:lang w:val="en-US"/>
              </w:rPr>
              <w:t>s</w:t>
            </w:r>
            <w:r w:rsidRPr="00677889">
              <w:rPr>
                <w:lang w:val="en-US"/>
              </w:rPr>
              <w:t xml:space="preserve"> and others on patient</w:t>
            </w:r>
            <w:r w:rsidR="00BD3094" w:rsidRPr="00677889">
              <w:rPr>
                <w:lang w:val="en-US"/>
              </w:rPr>
              <w:t>s’</w:t>
            </w:r>
            <w:r w:rsidRPr="00677889">
              <w:rPr>
                <w:lang w:val="en-US"/>
              </w:rPr>
              <w:t xml:space="preserve"> goals and priorities.</w:t>
            </w:r>
          </w:p>
          <w:p w14:paraId="7DE5B223" w14:textId="70F5C306" w:rsidR="00624805" w:rsidRPr="00677889" w:rsidRDefault="00624805" w:rsidP="000F1485">
            <w:pPr>
              <w:pStyle w:val="BodyText"/>
              <w:numPr>
                <w:ilvl w:val="0"/>
                <w:numId w:val="22"/>
              </w:numPr>
              <w:spacing w:before="120" w:after="120"/>
            </w:pPr>
            <w:r w:rsidRPr="00677889">
              <w:t>Describes areas of practice of other health professions and explains interpro</w:t>
            </w:r>
            <w:r w:rsidR="000A16A8" w:rsidRPr="00677889">
              <w:t>fessional approaches to patient</w:t>
            </w:r>
            <w:r w:rsidR="00BD3094" w:rsidRPr="00677889">
              <w:t>s</w:t>
            </w:r>
            <w:r w:rsidRPr="00677889">
              <w:t xml:space="preserve"> and others.</w:t>
            </w:r>
          </w:p>
        </w:tc>
      </w:tr>
      <w:tr w:rsidR="00624805" w:rsidRPr="00677889" w14:paraId="232BA0FC" w14:textId="77777777" w:rsidTr="009D2A30">
        <w:tc>
          <w:tcPr>
            <w:tcW w:w="3256" w:type="dxa"/>
          </w:tcPr>
          <w:p w14:paraId="6126585C" w14:textId="355B1BF2" w:rsidR="00624805" w:rsidRPr="00677889" w:rsidRDefault="00624805" w:rsidP="00BD3094">
            <w:pPr>
              <w:pStyle w:val="BodyText"/>
              <w:numPr>
                <w:ilvl w:val="1"/>
                <w:numId w:val="31"/>
              </w:numPr>
              <w:spacing w:before="120" w:after="120"/>
              <w:rPr>
                <w:b/>
                <w:lang w:val="en-US"/>
              </w:rPr>
            </w:pPr>
            <w:r w:rsidRPr="00677889">
              <w:rPr>
                <w:b/>
                <w:lang w:val="en-US"/>
              </w:rPr>
              <w:t xml:space="preserve">Formulates a care </w:t>
            </w:r>
            <w:r w:rsidR="00C37F4F" w:rsidRPr="00677889">
              <w:rPr>
                <w:b/>
                <w:lang w:val="en-US"/>
              </w:rPr>
              <w:t xml:space="preserve">and management </w:t>
            </w:r>
            <w:r w:rsidRPr="00677889">
              <w:rPr>
                <w:b/>
                <w:lang w:val="en-US"/>
              </w:rPr>
              <w:t>plan</w:t>
            </w:r>
          </w:p>
        </w:tc>
        <w:tc>
          <w:tcPr>
            <w:tcW w:w="6095" w:type="dxa"/>
          </w:tcPr>
          <w:p w14:paraId="649BEC78" w14:textId="1E8C8686" w:rsidR="000F1485" w:rsidRPr="00677889" w:rsidRDefault="00FA47C1" w:rsidP="00FA47C1">
            <w:pPr>
              <w:pStyle w:val="BodyText"/>
              <w:numPr>
                <w:ilvl w:val="0"/>
                <w:numId w:val="21"/>
              </w:numPr>
              <w:spacing w:before="120" w:after="120"/>
              <w:rPr>
                <w:lang w:val="en-US"/>
              </w:rPr>
            </w:pPr>
            <w:r w:rsidRPr="00677889">
              <w:rPr>
                <w:lang w:val="en-US"/>
              </w:rPr>
              <w:t>Formulates care plan in collaboration with patient</w:t>
            </w:r>
            <w:r w:rsidR="00BD3094" w:rsidRPr="00677889">
              <w:rPr>
                <w:lang w:val="en-US"/>
              </w:rPr>
              <w:t>s</w:t>
            </w:r>
            <w:r w:rsidRPr="00677889">
              <w:rPr>
                <w:lang w:val="en-US"/>
              </w:rPr>
              <w:t>, recognising personal and professional limitations</w:t>
            </w:r>
            <w:r w:rsidR="000F1485" w:rsidRPr="00677889">
              <w:rPr>
                <w:lang w:val="en-US"/>
              </w:rPr>
              <w:t>.</w:t>
            </w:r>
          </w:p>
          <w:p w14:paraId="1718A275" w14:textId="5490BF68" w:rsidR="00624805" w:rsidRPr="00677889" w:rsidRDefault="000F1485" w:rsidP="00FA47C1">
            <w:pPr>
              <w:pStyle w:val="BodyText"/>
              <w:numPr>
                <w:ilvl w:val="0"/>
                <w:numId w:val="21"/>
              </w:numPr>
              <w:spacing w:before="120" w:after="120"/>
              <w:rPr>
                <w:lang w:val="en-US"/>
              </w:rPr>
            </w:pPr>
            <w:r w:rsidRPr="00677889">
              <w:rPr>
                <w:lang w:val="en-US"/>
              </w:rPr>
              <w:t>Reaches</w:t>
            </w:r>
            <w:r w:rsidR="00624805" w:rsidRPr="00677889">
              <w:rPr>
                <w:lang w:val="en-US"/>
              </w:rPr>
              <w:t xml:space="preserve"> agreement on patient-centred, evidence-based care plan</w:t>
            </w:r>
            <w:r w:rsidRPr="00677889">
              <w:rPr>
                <w:lang w:val="en-US"/>
              </w:rPr>
              <w:t xml:space="preserve">, </w:t>
            </w:r>
            <w:r w:rsidR="00624805" w:rsidRPr="00677889">
              <w:rPr>
                <w:lang w:val="en-US"/>
              </w:rPr>
              <w:t>including chiropractic care, co-management or referral.</w:t>
            </w:r>
          </w:p>
          <w:p w14:paraId="271D1E99" w14:textId="52510FA5" w:rsidR="00624805" w:rsidRPr="00677889" w:rsidRDefault="00624805" w:rsidP="00B36FE3">
            <w:pPr>
              <w:pStyle w:val="BodyText"/>
              <w:numPr>
                <w:ilvl w:val="0"/>
                <w:numId w:val="21"/>
              </w:numPr>
              <w:spacing w:before="120" w:after="120"/>
              <w:rPr>
                <w:lang w:val="en-US"/>
              </w:rPr>
            </w:pPr>
            <w:r w:rsidRPr="00677889">
              <w:rPr>
                <w:lang w:val="en-US"/>
              </w:rPr>
              <w:t xml:space="preserve">Establishes plans for review of </w:t>
            </w:r>
            <w:r w:rsidR="00B36FE3" w:rsidRPr="00677889">
              <w:rPr>
                <w:lang w:val="en-US"/>
              </w:rPr>
              <w:t>care and management</w:t>
            </w:r>
            <w:r w:rsidRPr="00677889">
              <w:rPr>
                <w:lang w:val="en-US"/>
              </w:rPr>
              <w:t>.</w:t>
            </w:r>
          </w:p>
        </w:tc>
      </w:tr>
    </w:tbl>
    <w:p w14:paraId="5BCBAF5F" w14:textId="500BD504" w:rsidR="006567DE" w:rsidRPr="00677889" w:rsidRDefault="006567DE">
      <w:pPr>
        <w:keepLines w:val="0"/>
        <w:widowControl/>
        <w:spacing w:after="200"/>
        <w:rPr>
          <w:szCs w:val="21"/>
          <w:lang w:val="en-US"/>
        </w:rPr>
      </w:pPr>
    </w:p>
    <w:tbl>
      <w:tblPr>
        <w:tblStyle w:val="TableGrid"/>
        <w:tblW w:w="9240" w:type="dxa"/>
        <w:tblLook w:val="04A0" w:firstRow="1" w:lastRow="0" w:firstColumn="1" w:lastColumn="0" w:noHBand="0" w:noVBand="1"/>
      </w:tblPr>
      <w:tblGrid>
        <w:gridCol w:w="9240"/>
      </w:tblGrid>
      <w:tr w:rsidR="00624805" w:rsidRPr="00677889" w14:paraId="20F7B09E" w14:textId="77777777" w:rsidTr="00624805">
        <w:tc>
          <w:tcPr>
            <w:tcW w:w="9240" w:type="dxa"/>
            <w:tcBorders>
              <w:top w:val="thinThickThinSmallGap" w:sz="24" w:space="0" w:color="DCE4F1" w:themeColor="accent5" w:themeTint="33"/>
              <w:left w:val="thinThickThinSmallGap" w:sz="24" w:space="0" w:color="DCE4F1" w:themeColor="accent5" w:themeTint="33"/>
              <w:bottom w:val="thinThickThinSmallGap" w:sz="24" w:space="0" w:color="DCE4F1" w:themeColor="accent5" w:themeTint="33"/>
              <w:right w:val="thinThickThinSmallGap" w:sz="24" w:space="0" w:color="DCE4F1" w:themeColor="accent5" w:themeTint="33"/>
            </w:tcBorders>
            <w:shd w:val="clear" w:color="auto" w:fill="DCE4F1" w:themeFill="accent5" w:themeFillTint="33"/>
          </w:tcPr>
          <w:p w14:paraId="3013C8D2" w14:textId="77777777" w:rsidR="00624805" w:rsidRPr="00677889" w:rsidRDefault="00624805" w:rsidP="00624805">
            <w:pPr>
              <w:pStyle w:val="Heading2"/>
              <w:spacing w:before="240"/>
              <w:ind w:left="255"/>
              <w:outlineLvl w:val="1"/>
              <w:rPr>
                <w:color w:val="375992" w:themeColor="accent5" w:themeShade="BF"/>
                <w:sz w:val="22"/>
                <w:szCs w:val="22"/>
                <w:lang w:val="en-US"/>
              </w:rPr>
            </w:pPr>
            <w:bookmarkStart w:id="115" w:name="_Toc446242290"/>
            <w:r w:rsidRPr="00677889">
              <w:rPr>
                <w:color w:val="375992" w:themeColor="accent5" w:themeShade="BF"/>
                <w:sz w:val="22"/>
                <w:szCs w:val="22"/>
                <w:lang w:val="en-US"/>
              </w:rPr>
              <w:t>PRACTICE COMPETENCY 5 – IMPLEMENTING, MONITORING AND EVALUATING CARE</w:t>
            </w:r>
            <w:bookmarkEnd w:id="115"/>
          </w:p>
          <w:p w14:paraId="020BFD0E" w14:textId="3FDE395F" w:rsidR="00624805" w:rsidRPr="00677889" w:rsidRDefault="00624805" w:rsidP="00BD3094">
            <w:pPr>
              <w:pStyle w:val="BodyText"/>
              <w:ind w:left="258"/>
              <w:rPr>
                <w:b/>
                <w:sz w:val="24"/>
                <w:szCs w:val="24"/>
                <w:lang w:val="en-US"/>
              </w:rPr>
            </w:pPr>
            <w:r w:rsidRPr="00677889">
              <w:rPr>
                <w:color w:val="375992" w:themeColor="accent5" w:themeShade="BF"/>
                <w:sz w:val="22"/>
                <w:szCs w:val="22"/>
                <w:lang w:val="en-US"/>
              </w:rPr>
              <w:t>Coordinates the safe and effective implementation, monitoring and evaluation of patien</w:t>
            </w:r>
            <w:r w:rsidR="00BD3094" w:rsidRPr="00677889">
              <w:rPr>
                <w:color w:val="375992" w:themeColor="accent5" w:themeShade="BF"/>
                <w:sz w:val="22"/>
                <w:szCs w:val="22"/>
                <w:lang w:val="en-US"/>
              </w:rPr>
              <w:t>ts’</w:t>
            </w:r>
            <w:r w:rsidRPr="00677889">
              <w:rPr>
                <w:color w:val="375992" w:themeColor="accent5" w:themeShade="BF"/>
                <w:sz w:val="22"/>
                <w:szCs w:val="22"/>
                <w:lang w:val="en-US"/>
              </w:rPr>
              <w:t xml:space="preserve"> care </w:t>
            </w:r>
            <w:r w:rsidR="00FC6F58" w:rsidRPr="00677889">
              <w:rPr>
                <w:color w:val="375992" w:themeColor="accent5" w:themeShade="BF"/>
                <w:sz w:val="22"/>
                <w:szCs w:val="22"/>
                <w:lang w:val="en-US"/>
              </w:rPr>
              <w:t xml:space="preserve">and management </w:t>
            </w:r>
            <w:r w:rsidRPr="00677889">
              <w:rPr>
                <w:color w:val="375992" w:themeColor="accent5" w:themeShade="BF"/>
                <w:sz w:val="22"/>
                <w:szCs w:val="22"/>
                <w:lang w:val="en-US"/>
              </w:rPr>
              <w:t>plan</w:t>
            </w:r>
            <w:r w:rsidR="00BD3094" w:rsidRPr="00677889">
              <w:rPr>
                <w:color w:val="375992" w:themeColor="accent5" w:themeShade="BF"/>
                <w:sz w:val="22"/>
                <w:szCs w:val="22"/>
                <w:lang w:val="en-US"/>
              </w:rPr>
              <w:t>s</w:t>
            </w:r>
            <w:r w:rsidRPr="00677889">
              <w:rPr>
                <w:color w:val="375992" w:themeColor="accent5" w:themeShade="BF"/>
                <w:sz w:val="22"/>
                <w:szCs w:val="22"/>
                <w:lang w:val="en-US"/>
              </w:rPr>
              <w:t>.</w:t>
            </w:r>
          </w:p>
        </w:tc>
      </w:tr>
    </w:tbl>
    <w:p w14:paraId="593F6F85" w14:textId="77777777" w:rsidR="00624805" w:rsidRPr="00677889" w:rsidRDefault="00624805" w:rsidP="009178D9">
      <w:pPr>
        <w:pStyle w:val="BodyText"/>
        <w:rPr>
          <w:sz w:val="24"/>
          <w:szCs w:val="24"/>
          <w:lang w:val="en-US"/>
        </w:rPr>
      </w:pPr>
    </w:p>
    <w:tbl>
      <w:tblPr>
        <w:tblStyle w:val="TableGrid"/>
        <w:tblW w:w="935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256"/>
        <w:gridCol w:w="6100"/>
      </w:tblGrid>
      <w:tr w:rsidR="00624805" w:rsidRPr="00677889" w14:paraId="0E0E999E" w14:textId="77777777" w:rsidTr="008114F3">
        <w:trPr>
          <w:tblHeader/>
        </w:trPr>
        <w:tc>
          <w:tcPr>
            <w:tcW w:w="3256" w:type="dxa"/>
          </w:tcPr>
          <w:p w14:paraId="71A63527" w14:textId="77777777" w:rsidR="00624805" w:rsidRPr="00677889" w:rsidRDefault="00624805" w:rsidP="00624805">
            <w:pPr>
              <w:pStyle w:val="Heading3"/>
              <w:numPr>
                <w:ilvl w:val="0"/>
                <w:numId w:val="0"/>
              </w:numPr>
              <w:spacing w:before="120" w:after="120"/>
              <w:ind w:left="318" w:hanging="318"/>
              <w:jc w:val="center"/>
              <w:outlineLvl w:val="2"/>
              <w:rPr>
                <w:lang w:val="en-US"/>
              </w:rPr>
            </w:pPr>
            <w:bookmarkStart w:id="116" w:name="_Toc435716104"/>
            <w:bookmarkStart w:id="117" w:name="_Toc435728920"/>
            <w:bookmarkStart w:id="118" w:name="_Toc437248432"/>
            <w:bookmarkStart w:id="119" w:name="_Toc444178143"/>
            <w:bookmarkStart w:id="120" w:name="_Toc446242291"/>
            <w:r w:rsidRPr="00677889">
              <w:rPr>
                <w:lang w:val="en-US" w:eastAsia="en-US"/>
              </w:rPr>
              <w:t>ELEMENTS</w:t>
            </w:r>
            <w:bookmarkEnd w:id="116"/>
            <w:bookmarkEnd w:id="117"/>
            <w:bookmarkEnd w:id="118"/>
            <w:bookmarkEnd w:id="119"/>
            <w:bookmarkEnd w:id="120"/>
          </w:p>
        </w:tc>
        <w:tc>
          <w:tcPr>
            <w:tcW w:w="6100" w:type="dxa"/>
          </w:tcPr>
          <w:p w14:paraId="10521255" w14:textId="77777777" w:rsidR="00624805" w:rsidRPr="00677889" w:rsidRDefault="00624805" w:rsidP="00624805">
            <w:pPr>
              <w:pStyle w:val="Heading3"/>
              <w:numPr>
                <w:ilvl w:val="0"/>
                <w:numId w:val="0"/>
              </w:numPr>
              <w:spacing w:before="120" w:after="120"/>
              <w:outlineLvl w:val="2"/>
              <w:rPr>
                <w:lang w:val="en-US"/>
              </w:rPr>
            </w:pPr>
            <w:r w:rsidRPr="00677889">
              <w:rPr>
                <w:lang w:val="en-US" w:eastAsia="en-US"/>
              </w:rPr>
              <w:tab/>
            </w:r>
            <w:r w:rsidRPr="00677889">
              <w:rPr>
                <w:lang w:val="en-US" w:eastAsia="en-US"/>
              </w:rPr>
              <w:tab/>
            </w:r>
            <w:bookmarkStart w:id="121" w:name="_Toc435716105"/>
            <w:bookmarkStart w:id="122" w:name="_Toc435728921"/>
            <w:bookmarkStart w:id="123" w:name="_Toc437248433"/>
            <w:bookmarkStart w:id="124" w:name="_Toc444178144"/>
            <w:bookmarkStart w:id="125" w:name="_Toc446242292"/>
            <w:r w:rsidRPr="00677889">
              <w:rPr>
                <w:lang w:val="en-US" w:eastAsia="en-US"/>
              </w:rPr>
              <w:t>PERFORMANCE</w:t>
            </w:r>
            <w:r w:rsidRPr="00677889">
              <w:rPr>
                <w:lang w:val="en-US"/>
              </w:rPr>
              <w:t xml:space="preserve"> CRITERIA</w:t>
            </w:r>
            <w:bookmarkEnd w:id="121"/>
            <w:bookmarkEnd w:id="122"/>
            <w:bookmarkEnd w:id="123"/>
            <w:bookmarkEnd w:id="124"/>
            <w:bookmarkEnd w:id="125"/>
          </w:p>
          <w:p w14:paraId="3795EF6A" w14:textId="77777777" w:rsidR="00624805" w:rsidRPr="00677889" w:rsidRDefault="00624805" w:rsidP="00624805">
            <w:pPr>
              <w:pStyle w:val="BodyText"/>
              <w:spacing w:before="120" w:after="120"/>
              <w:rPr>
                <w:lang w:val="en-US"/>
              </w:rPr>
            </w:pPr>
            <w:r w:rsidRPr="00677889">
              <w:rPr>
                <w:lang w:val="en-US"/>
              </w:rPr>
              <w:t>On graduation, a chiropractor:</w:t>
            </w:r>
          </w:p>
        </w:tc>
      </w:tr>
      <w:tr w:rsidR="00624805" w:rsidRPr="00677889" w14:paraId="12A57C1F" w14:textId="77777777" w:rsidTr="008114F3">
        <w:tc>
          <w:tcPr>
            <w:tcW w:w="3256" w:type="dxa"/>
          </w:tcPr>
          <w:p w14:paraId="6127E949" w14:textId="198B9746" w:rsidR="00624805" w:rsidRPr="00677889" w:rsidRDefault="00624805" w:rsidP="00BD3094">
            <w:pPr>
              <w:pStyle w:val="BodyText"/>
              <w:spacing w:before="120" w:after="120"/>
              <w:ind w:left="318" w:hanging="318"/>
              <w:rPr>
                <w:b/>
                <w:lang w:val="en-US"/>
              </w:rPr>
            </w:pPr>
            <w:r w:rsidRPr="00677889">
              <w:rPr>
                <w:b/>
                <w:lang w:val="en-US"/>
              </w:rPr>
              <w:t>5.1 Obtains and records patient</w:t>
            </w:r>
            <w:r w:rsidR="00BD3094" w:rsidRPr="00677889">
              <w:rPr>
                <w:b/>
                <w:lang w:val="en-US"/>
              </w:rPr>
              <w:t>-</w:t>
            </w:r>
            <w:r w:rsidRPr="00677889">
              <w:rPr>
                <w:b/>
                <w:lang w:val="en-US"/>
              </w:rPr>
              <w:t>informed consent regarding care</w:t>
            </w:r>
          </w:p>
        </w:tc>
        <w:tc>
          <w:tcPr>
            <w:tcW w:w="6100" w:type="dxa"/>
          </w:tcPr>
          <w:p w14:paraId="532D79C6" w14:textId="43CA274A" w:rsidR="00624805" w:rsidRPr="00677889" w:rsidRDefault="00624805" w:rsidP="00624805">
            <w:pPr>
              <w:pStyle w:val="BodyText"/>
              <w:numPr>
                <w:ilvl w:val="0"/>
                <w:numId w:val="20"/>
              </w:numPr>
              <w:spacing w:before="120" w:after="120"/>
              <w:rPr>
                <w:lang w:val="en-US"/>
              </w:rPr>
            </w:pPr>
            <w:r w:rsidRPr="00677889">
              <w:rPr>
                <w:lang w:val="en-US"/>
              </w:rPr>
              <w:t>Applies relevant legal requirements, professional standards and codes to obtain and record patient</w:t>
            </w:r>
            <w:r w:rsidR="00087A9A" w:rsidRPr="00677889">
              <w:rPr>
                <w:lang w:val="en-US"/>
              </w:rPr>
              <w:t>s’</w:t>
            </w:r>
            <w:r w:rsidRPr="00677889">
              <w:rPr>
                <w:lang w:val="en-US"/>
              </w:rPr>
              <w:t xml:space="preserve"> consent</w:t>
            </w:r>
            <w:r w:rsidR="00087A9A" w:rsidRPr="00677889">
              <w:rPr>
                <w:lang w:val="en-US"/>
              </w:rPr>
              <w:t>s</w:t>
            </w:r>
            <w:r w:rsidRPr="00677889">
              <w:rPr>
                <w:lang w:val="en-US"/>
              </w:rPr>
              <w:t>.</w:t>
            </w:r>
          </w:p>
        </w:tc>
      </w:tr>
      <w:tr w:rsidR="00624805" w:rsidRPr="00677889" w14:paraId="23146798" w14:textId="77777777" w:rsidTr="008114F3">
        <w:tc>
          <w:tcPr>
            <w:tcW w:w="3256" w:type="dxa"/>
          </w:tcPr>
          <w:p w14:paraId="719766E8" w14:textId="77777777" w:rsidR="00624805" w:rsidRPr="00677889" w:rsidRDefault="00624805" w:rsidP="00624805">
            <w:pPr>
              <w:pStyle w:val="BodyText"/>
              <w:spacing w:before="120" w:after="120"/>
              <w:ind w:left="318" w:hanging="318"/>
              <w:rPr>
                <w:b/>
                <w:lang w:val="en-US"/>
              </w:rPr>
            </w:pPr>
            <w:r w:rsidRPr="00677889">
              <w:rPr>
                <w:b/>
                <w:lang w:val="en-US"/>
              </w:rPr>
              <w:t xml:space="preserve">5.2 Implements interventions safely and effectively </w:t>
            </w:r>
          </w:p>
        </w:tc>
        <w:tc>
          <w:tcPr>
            <w:tcW w:w="6100" w:type="dxa"/>
          </w:tcPr>
          <w:p w14:paraId="5853D495" w14:textId="77777777" w:rsidR="00624805" w:rsidRPr="00677889" w:rsidRDefault="00624805" w:rsidP="00624805">
            <w:pPr>
              <w:pStyle w:val="BodyText"/>
              <w:numPr>
                <w:ilvl w:val="0"/>
                <w:numId w:val="22"/>
              </w:numPr>
              <w:spacing w:before="120" w:after="120"/>
              <w:rPr>
                <w:lang w:val="en-US"/>
              </w:rPr>
            </w:pPr>
            <w:r w:rsidRPr="00677889">
              <w:rPr>
                <w:lang w:val="en-US"/>
              </w:rPr>
              <w:t>Performs safe and effective adjustive, manipulative, manual and other procedures.</w:t>
            </w:r>
          </w:p>
          <w:p w14:paraId="230F2D2D" w14:textId="291E5CF9" w:rsidR="00624805" w:rsidRPr="00677889" w:rsidRDefault="00624805" w:rsidP="00624805">
            <w:pPr>
              <w:pStyle w:val="BodyText"/>
              <w:numPr>
                <w:ilvl w:val="0"/>
                <w:numId w:val="22"/>
              </w:numPr>
              <w:spacing w:before="120" w:after="120"/>
              <w:rPr>
                <w:lang w:val="en-US"/>
              </w:rPr>
            </w:pPr>
            <w:r w:rsidRPr="00677889">
              <w:rPr>
                <w:lang w:val="en-US"/>
              </w:rPr>
              <w:t>Provides information and advice to patient</w:t>
            </w:r>
            <w:r w:rsidR="00BD3094" w:rsidRPr="00677889">
              <w:rPr>
                <w:lang w:val="en-US"/>
              </w:rPr>
              <w:t>s</w:t>
            </w:r>
            <w:r w:rsidRPr="00677889">
              <w:rPr>
                <w:lang w:val="en-US"/>
              </w:rPr>
              <w:t xml:space="preserve"> for </w:t>
            </w:r>
            <w:r w:rsidR="009178D9" w:rsidRPr="00677889">
              <w:rPr>
                <w:lang w:val="en-US"/>
              </w:rPr>
              <w:t>health promotion</w:t>
            </w:r>
            <w:r w:rsidR="00FA47C1" w:rsidRPr="00677889">
              <w:rPr>
                <w:lang w:val="en-US"/>
              </w:rPr>
              <w:t xml:space="preserve">, </w:t>
            </w:r>
            <w:r w:rsidR="008C176B" w:rsidRPr="00677889">
              <w:rPr>
                <w:lang w:val="en-US"/>
              </w:rPr>
              <w:t>self-management</w:t>
            </w:r>
            <w:r w:rsidR="00FA47C1" w:rsidRPr="00677889">
              <w:rPr>
                <w:lang w:val="en-US"/>
              </w:rPr>
              <w:t xml:space="preserve"> and lifestyle options for better health</w:t>
            </w:r>
            <w:r w:rsidR="008C176B" w:rsidRPr="00677889">
              <w:rPr>
                <w:lang w:val="en-US"/>
              </w:rPr>
              <w:t>.</w:t>
            </w:r>
          </w:p>
          <w:p w14:paraId="1844D10C" w14:textId="0F6F32F8" w:rsidR="00624805" w:rsidRPr="00677889" w:rsidRDefault="00624805" w:rsidP="00BD3094">
            <w:pPr>
              <w:pStyle w:val="BodyText"/>
              <w:numPr>
                <w:ilvl w:val="0"/>
                <w:numId w:val="22"/>
              </w:numPr>
              <w:spacing w:before="120" w:after="120"/>
              <w:rPr>
                <w:lang w:val="en-US"/>
              </w:rPr>
            </w:pPr>
            <w:r w:rsidRPr="00677889">
              <w:rPr>
                <w:lang w:val="en-US"/>
              </w:rPr>
              <w:t xml:space="preserve">Adapts interventions </w:t>
            </w:r>
            <w:r w:rsidR="00BD3094" w:rsidRPr="00677889">
              <w:rPr>
                <w:lang w:val="en-US"/>
              </w:rPr>
              <w:t>accounting for</w:t>
            </w:r>
            <w:r w:rsidRPr="00677889">
              <w:rPr>
                <w:lang w:val="en-US"/>
              </w:rPr>
              <w:t xml:space="preserve"> factors </w:t>
            </w:r>
            <w:r w:rsidR="00BD3094" w:rsidRPr="00677889">
              <w:rPr>
                <w:lang w:val="en-US"/>
              </w:rPr>
              <w:t xml:space="preserve">such </w:t>
            </w:r>
            <w:r w:rsidRPr="00677889">
              <w:rPr>
                <w:lang w:val="en-US"/>
              </w:rPr>
              <w:t>as age, condition, health status, response to care and patient</w:t>
            </w:r>
            <w:r w:rsidR="00087A9A" w:rsidRPr="00677889">
              <w:rPr>
                <w:lang w:val="en-US"/>
              </w:rPr>
              <w:t>s’</w:t>
            </w:r>
            <w:r w:rsidRPr="00677889">
              <w:rPr>
                <w:lang w:val="en-US"/>
              </w:rPr>
              <w:t xml:space="preserve"> preferences.</w:t>
            </w:r>
          </w:p>
        </w:tc>
      </w:tr>
      <w:tr w:rsidR="00624805" w:rsidRPr="00677889" w14:paraId="1CC0FE56" w14:textId="77777777" w:rsidTr="008114F3">
        <w:tc>
          <w:tcPr>
            <w:tcW w:w="3256" w:type="dxa"/>
          </w:tcPr>
          <w:p w14:paraId="60D6E877" w14:textId="141B363B" w:rsidR="00624805" w:rsidRPr="00677889" w:rsidRDefault="00624805" w:rsidP="00BD3094">
            <w:pPr>
              <w:pStyle w:val="BodyText"/>
              <w:spacing w:before="120" w:after="120"/>
              <w:ind w:left="318" w:hanging="318"/>
              <w:rPr>
                <w:b/>
                <w:lang w:val="en-US"/>
              </w:rPr>
            </w:pPr>
            <w:r w:rsidRPr="00677889">
              <w:rPr>
                <w:b/>
                <w:lang w:val="en-US"/>
              </w:rPr>
              <w:t>5.3 Monitors and evaluates progress of care and health outcomes</w:t>
            </w:r>
          </w:p>
        </w:tc>
        <w:tc>
          <w:tcPr>
            <w:tcW w:w="6100" w:type="dxa"/>
          </w:tcPr>
          <w:p w14:paraId="2FA10A8D" w14:textId="3518224F" w:rsidR="000B0D1F" w:rsidRPr="00677889" w:rsidRDefault="00C37F4F" w:rsidP="000B0D1F">
            <w:pPr>
              <w:pStyle w:val="BodyText"/>
              <w:numPr>
                <w:ilvl w:val="0"/>
                <w:numId w:val="21"/>
              </w:numPr>
              <w:spacing w:before="120" w:after="120"/>
              <w:rPr>
                <w:lang w:val="en-US"/>
              </w:rPr>
            </w:pPr>
            <w:r w:rsidRPr="00677889">
              <w:rPr>
                <w:lang w:val="en-US"/>
              </w:rPr>
              <w:t>Recognises</w:t>
            </w:r>
            <w:r w:rsidR="000B0D1F" w:rsidRPr="00677889">
              <w:rPr>
                <w:lang w:val="en-US"/>
              </w:rPr>
              <w:t xml:space="preserve"> possible complications/adverse events arising from </w:t>
            </w:r>
            <w:r w:rsidR="00FC6F58" w:rsidRPr="00677889">
              <w:rPr>
                <w:lang w:val="en-US"/>
              </w:rPr>
              <w:t xml:space="preserve">patients’ </w:t>
            </w:r>
            <w:r w:rsidR="000B0D1F" w:rsidRPr="00677889">
              <w:rPr>
                <w:lang w:val="en-US"/>
              </w:rPr>
              <w:t>management and has appropriate procedures in place in order to be able to effectively manage these including referral for emergency care when appropriate.</w:t>
            </w:r>
          </w:p>
          <w:p w14:paraId="501E9D96" w14:textId="4E612853" w:rsidR="000B0D1F" w:rsidRPr="00677889" w:rsidRDefault="000B0D1F" w:rsidP="000B0D1F">
            <w:pPr>
              <w:pStyle w:val="BodyText"/>
              <w:numPr>
                <w:ilvl w:val="0"/>
                <w:numId w:val="21"/>
              </w:numPr>
              <w:spacing w:before="120" w:after="120"/>
              <w:rPr>
                <w:lang w:val="en-US"/>
              </w:rPr>
            </w:pPr>
            <w:r w:rsidRPr="00677889">
              <w:rPr>
                <w:lang w:val="en-US"/>
              </w:rPr>
              <w:t>Monitors patient</w:t>
            </w:r>
            <w:r w:rsidR="00BD3094" w:rsidRPr="00677889">
              <w:rPr>
                <w:lang w:val="en-US"/>
              </w:rPr>
              <w:t>s’</w:t>
            </w:r>
            <w:r w:rsidRPr="00677889">
              <w:rPr>
                <w:lang w:val="en-US"/>
              </w:rPr>
              <w:t xml:space="preserve"> progress towards a</w:t>
            </w:r>
            <w:r w:rsidR="000A16A8" w:rsidRPr="00677889">
              <w:rPr>
                <w:lang w:val="en-US"/>
              </w:rPr>
              <w:t xml:space="preserve">chieving planned health outcomes </w:t>
            </w:r>
            <w:r w:rsidR="000A16A8" w:rsidRPr="00677889">
              <w:t>using valid and reliable measures where available.</w:t>
            </w:r>
          </w:p>
          <w:p w14:paraId="41905F94" w14:textId="35213534" w:rsidR="00624805" w:rsidRPr="00677889" w:rsidRDefault="00624805" w:rsidP="000B0D1F">
            <w:pPr>
              <w:pStyle w:val="BodyText"/>
              <w:numPr>
                <w:ilvl w:val="0"/>
                <w:numId w:val="21"/>
              </w:numPr>
              <w:spacing w:before="120" w:after="120"/>
              <w:rPr>
                <w:lang w:val="en-US"/>
              </w:rPr>
            </w:pPr>
            <w:r w:rsidRPr="00677889">
              <w:rPr>
                <w:lang w:val="en-US"/>
              </w:rPr>
              <w:t>Monitors management and care for adverse events</w:t>
            </w:r>
            <w:r w:rsidR="000B0D1F" w:rsidRPr="00677889">
              <w:rPr>
                <w:lang w:val="en-US"/>
              </w:rPr>
              <w:t xml:space="preserve"> and changes in patient</w:t>
            </w:r>
            <w:r w:rsidR="00BD3094" w:rsidRPr="00677889">
              <w:rPr>
                <w:lang w:val="en-US"/>
              </w:rPr>
              <w:t>s</w:t>
            </w:r>
            <w:r w:rsidR="00C24FAE" w:rsidRPr="00677889">
              <w:rPr>
                <w:lang w:val="en-US"/>
              </w:rPr>
              <w:t>’</w:t>
            </w:r>
            <w:r w:rsidR="00BD3094" w:rsidRPr="00677889">
              <w:rPr>
                <w:lang w:val="en-US"/>
              </w:rPr>
              <w:t xml:space="preserve"> lives</w:t>
            </w:r>
            <w:r w:rsidR="000B0D1F" w:rsidRPr="00677889">
              <w:rPr>
                <w:lang w:val="en-US"/>
              </w:rPr>
              <w:t xml:space="preserve"> that may affect care</w:t>
            </w:r>
            <w:r w:rsidRPr="00677889">
              <w:rPr>
                <w:lang w:val="en-US"/>
              </w:rPr>
              <w:t>.</w:t>
            </w:r>
          </w:p>
          <w:p w14:paraId="5AAF93AB" w14:textId="77777777" w:rsidR="00624805" w:rsidRPr="00677889" w:rsidRDefault="000B0D1F" w:rsidP="00624805">
            <w:pPr>
              <w:pStyle w:val="BodyText"/>
              <w:numPr>
                <w:ilvl w:val="0"/>
                <w:numId w:val="21"/>
              </w:numPr>
              <w:spacing w:before="120" w:after="120"/>
              <w:rPr>
                <w:lang w:val="en-US"/>
              </w:rPr>
            </w:pPr>
            <w:r w:rsidRPr="00677889">
              <w:rPr>
                <w:lang w:val="en-US"/>
              </w:rPr>
              <w:t>Considers</w:t>
            </w:r>
            <w:r w:rsidR="00624805" w:rsidRPr="00677889">
              <w:rPr>
                <w:lang w:val="en-US"/>
              </w:rPr>
              <w:t xml:space="preserve"> alternative options</w:t>
            </w:r>
            <w:r w:rsidRPr="00677889">
              <w:rPr>
                <w:lang w:val="en-US"/>
              </w:rPr>
              <w:t xml:space="preserve"> when indicated</w:t>
            </w:r>
            <w:r w:rsidR="00624805" w:rsidRPr="00677889">
              <w:rPr>
                <w:lang w:val="en-US"/>
              </w:rPr>
              <w:t>.</w:t>
            </w:r>
          </w:p>
        </w:tc>
      </w:tr>
      <w:tr w:rsidR="00624805" w:rsidRPr="00677889" w14:paraId="154E9FE4" w14:textId="77777777" w:rsidTr="008114F3">
        <w:tc>
          <w:tcPr>
            <w:tcW w:w="3256" w:type="dxa"/>
          </w:tcPr>
          <w:p w14:paraId="32E9DC58" w14:textId="5602D0C0" w:rsidR="00624805" w:rsidRPr="00677889" w:rsidRDefault="00624805" w:rsidP="006F1946">
            <w:pPr>
              <w:pStyle w:val="BodyText"/>
              <w:spacing w:before="120" w:after="120"/>
              <w:ind w:left="318" w:hanging="318"/>
              <w:rPr>
                <w:b/>
                <w:lang w:val="en-US"/>
              </w:rPr>
            </w:pPr>
            <w:r w:rsidRPr="00677889">
              <w:rPr>
                <w:b/>
                <w:lang w:val="en-US"/>
              </w:rPr>
              <w:t xml:space="preserve">5.4 </w:t>
            </w:r>
            <w:r w:rsidR="006F1946" w:rsidRPr="00677889">
              <w:rPr>
                <w:b/>
                <w:lang w:val="en-US"/>
              </w:rPr>
              <w:t>A</w:t>
            </w:r>
            <w:r w:rsidRPr="00677889">
              <w:rPr>
                <w:b/>
                <w:lang w:val="en-US"/>
              </w:rPr>
              <w:t>dapts plans based on monitoring and evaluation</w:t>
            </w:r>
          </w:p>
        </w:tc>
        <w:tc>
          <w:tcPr>
            <w:tcW w:w="6100" w:type="dxa"/>
          </w:tcPr>
          <w:p w14:paraId="50B6F129" w14:textId="60148A0C" w:rsidR="00624805" w:rsidRPr="00677889" w:rsidRDefault="00624805" w:rsidP="00BD3094">
            <w:pPr>
              <w:pStyle w:val="BodyText"/>
              <w:numPr>
                <w:ilvl w:val="0"/>
                <w:numId w:val="21"/>
              </w:numPr>
              <w:spacing w:before="120" w:after="120"/>
              <w:rPr>
                <w:lang w:val="en-US"/>
              </w:rPr>
            </w:pPr>
            <w:r w:rsidRPr="00677889">
              <w:rPr>
                <w:lang w:val="en-US"/>
              </w:rPr>
              <w:t>Collaborates with patient</w:t>
            </w:r>
            <w:r w:rsidR="00BD3094" w:rsidRPr="00677889">
              <w:rPr>
                <w:lang w:val="en-US"/>
              </w:rPr>
              <w:t>s</w:t>
            </w:r>
            <w:r w:rsidRPr="00677889">
              <w:rPr>
                <w:lang w:val="en-US"/>
              </w:rPr>
              <w:t xml:space="preserve"> and other health professionals</w:t>
            </w:r>
            <w:r w:rsidR="00BD3094" w:rsidRPr="00677889">
              <w:rPr>
                <w:lang w:val="en-US"/>
              </w:rPr>
              <w:t>,</w:t>
            </w:r>
            <w:r w:rsidRPr="00677889">
              <w:rPr>
                <w:lang w:val="en-US"/>
              </w:rPr>
              <w:t xml:space="preserve"> </w:t>
            </w:r>
            <w:r w:rsidR="000B0D1F" w:rsidRPr="00677889">
              <w:rPr>
                <w:lang w:val="en-US"/>
              </w:rPr>
              <w:t xml:space="preserve">where indicated, </w:t>
            </w:r>
            <w:r w:rsidRPr="00677889">
              <w:rPr>
                <w:lang w:val="en-US"/>
              </w:rPr>
              <w:t xml:space="preserve">to address issues arising from </w:t>
            </w:r>
            <w:r w:rsidR="00BD3094" w:rsidRPr="00677889">
              <w:rPr>
                <w:lang w:val="en-US"/>
              </w:rPr>
              <w:t>monitoring and evaluation</w:t>
            </w:r>
            <w:r w:rsidRPr="00677889">
              <w:rPr>
                <w:lang w:val="en-US"/>
              </w:rPr>
              <w:t>.</w:t>
            </w:r>
          </w:p>
        </w:tc>
      </w:tr>
    </w:tbl>
    <w:p w14:paraId="0458BA2F" w14:textId="77777777" w:rsidR="006567DE" w:rsidRPr="00677889" w:rsidRDefault="006567DE" w:rsidP="00624805">
      <w:pPr>
        <w:pStyle w:val="BodyText"/>
        <w:rPr>
          <w:lang w:val="en-US"/>
        </w:rPr>
      </w:pPr>
    </w:p>
    <w:p w14:paraId="5AEB5412" w14:textId="77777777" w:rsidR="006567DE" w:rsidRPr="00677889" w:rsidRDefault="006567DE">
      <w:pPr>
        <w:keepLines w:val="0"/>
        <w:widowControl/>
        <w:spacing w:after="200"/>
        <w:rPr>
          <w:szCs w:val="21"/>
          <w:lang w:val="en-US"/>
        </w:rPr>
      </w:pPr>
      <w:r w:rsidRPr="00677889">
        <w:rPr>
          <w:lang w:val="en-US"/>
        </w:rPr>
        <w:br w:type="page"/>
      </w:r>
    </w:p>
    <w:p w14:paraId="11051CD2" w14:textId="77777777" w:rsidR="004C1838" w:rsidRPr="00677889" w:rsidRDefault="000A16A8" w:rsidP="000A16A8">
      <w:pPr>
        <w:pStyle w:val="Heading1"/>
      </w:pPr>
      <w:bookmarkStart w:id="126" w:name="_Toc446242293"/>
      <w:bookmarkStart w:id="127" w:name="_Toc418368790"/>
      <w:bookmarkStart w:id="128" w:name="_Toc419887216"/>
      <w:r w:rsidRPr="00677889">
        <w:lastRenderedPageBreak/>
        <w:t>APPENDIX 1</w:t>
      </w:r>
      <w:r w:rsidR="003E708F" w:rsidRPr="00677889">
        <w:t xml:space="preserve"> –</w:t>
      </w:r>
      <w:r w:rsidRPr="00677889">
        <w:t xml:space="preserve"> </w:t>
      </w:r>
      <w:r w:rsidR="004C1838" w:rsidRPr="00677889">
        <w:t>ACRONYMS</w:t>
      </w:r>
      <w:r w:rsidR="003E708F" w:rsidRPr="00677889">
        <w:t xml:space="preserve"> </w:t>
      </w:r>
      <w:r w:rsidR="004C1838" w:rsidRPr="00677889">
        <w:t>AND ABBREVIATIONS</w:t>
      </w:r>
      <w:bookmarkEnd w:id="126"/>
    </w:p>
    <w:p w14:paraId="0C2F5572" w14:textId="77777777" w:rsidR="004C1838" w:rsidRPr="00677889" w:rsidRDefault="004C1838" w:rsidP="004C1838">
      <w:pPr>
        <w:spacing w:before="240"/>
        <w:rPr>
          <w:b/>
          <w:szCs w:val="22"/>
        </w:rPr>
      </w:pPr>
      <w:r w:rsidRPr="00677889">
        <w:rPr>
          <w:b/>
          <w:szCs w:val="22"/>
        </w:rPr>
        <w:t>ABBREVIATIONS AND ACRONYMS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735"/>
        <w:gridCol w:w="6282"/>
      </w:tblGrid>
      <w:tr w:rsidR="004C1838" w:rsidRPr="00677889" w14:paraId="2FF95C25" w14:textId="77777777" w:rsidTr="004C112D">
        <w:tc>
          <w:tcPr>
            <w:tcW w:w="2735" w:type="dxa"/>
          </w:tcPr>
          <w:p w14:paraId="0EEDAFE3" w14:textId="77777777" w:rsidR="004C1838" w:rsidRPr="00677889" w:rsidRDefault="004C1838" w:rsidP="004C1838">
            <w:pPr>
              <w:spacing w:before="80" w:after="80" w:line="240" w:lineRule="auto"/>
              <w:rPr>
                <w:b/>
                <w:szCs w:val="22"/>
              </w:rPr>
            </w:pPr>
            <w:r w:rsidRPr="00677889">
              <w:rPr>
                <w:b/>
                <w:szCs w:val="22"/>
              </w:rPr>
              <w:t>ACCE</w:t>
            </w:r>
          </w:p>
        </w:tc>
        <w:tc>
          <w:tcPr>
            <w:tcW w:w="6282" w:type="dxa"/>
          </w:tcPr>
          <w:p w14:paraId="4F815727" w14:textId="77777777" w:rsidR="004C1838" w:rsidRPr="00677889" w:rsidRDefault="004C1838" w:rsidP="004C1838">
            <w:pPr>
              <w:spacing w:before="80" w:after="80" w:line="240" w:lineRule="auto"/>
              <w:rPr>
                <w:szCs w:val="22"/>
              </w:rPr>
            </w:pPr>
            <w:r w:rsidRPr="00677889">
              <w:rPr>
                <w:szCs w:val="22"/>
              </w:rPr>
              <w:t>Australasian Council on Chiropractic Education Ltd</w:t>
            </w:r>
          </w:p>
        </w:tc>
      </w:tr>
      <w:tr w:rsidR="004C1838" w:rsidRPr="00677889" w14:paraId="35129599" w14:textId="77777777" w:rsidTr="004C112D">
        <w:tc>
          <w:tcPr>
            <w:tcW w:w="2735" w:type="dxa"/>
          </w:tcPr>
          <w:p w14:paraId="0C50BD47" w14:textId="77777777" w:rsidR="004C1838" w:rsidRPr="00677889" w:rsidRDefault="004C1838" w:rsidP="004C1838">
            <w:pPr>
              <w:spacing w:before="80" w:after="80" w:line="240" w:lineRule="auto"/>
              <w:rPr>
                <w:b/>
                <w:szCs w:val="22"/>
              </w:rPr>
            </w:pPr>
            <w:r w:rsidRPr="00677889">
              <w:rPr>
                <w:b/>
                <w:szCs w:val="22"/>
              </w:rPr>
              <w:t>ADC</w:t>
            </w:r>
          </w:p>
        </w:tc>
        <w:tc>
          <w:tcPr>
            <w:tcW w:w="6282" w:type="dxa"/>
          </w:tcPr>
          <w:p w14:paraId="107A0B5C" w14:textId="77777777" w:rsidR="004C1838" w:rsidRPr="00677889" w:rsidRDefault="004C1838" w:rsidP="004C1838">
            <w:pPr>
              <w:spacing w:before="80" w:after="80" w:line="240" w:lineRule="auto"/>
              <w:rPr>
                <w:szCs w:val="22"/>
              </w:rPr>
            </w:pPr>
            <w:r w:rsidRPr="00677889">
              <w:rPr>
                <w:szCs w:val="22"/>
              </w:rPr>
              <w:t>Australian Dental Council</w:t>
            </w:r>
          </w:p>
        </w:tc>
      </w:tr>
      <w:tr w:rsidR="004C1838" w:rsidRPr="00677889" w14:paraId="2226CCA5" w14:textId="77777777" w:rsidTr="004C112D">
        <w:tc>
          <w:tcPr>
            <w:tcW w:w="2735" w:type="dxa"/>
          </w:tcPr>
          <w:p w14:paraId="2501EBDF" w14:textId="77777777" w:rsidR="004C1838" w:rsidRPr="00677889" w:rsidRDefault="004C1838" w:rsidP="004C1838">
            <w:pPr>
              <w:spacing w:before="80" w:after="80" w:line="240" w:lineRule="auto"/>
              <w:rPr>
                <w:b/>
                <w:szCs w:val="22"/>
              </w:rPr>
            </w:pPr>
            <w:r w:rsidRPr="00677889">
              <w:rPr>
                <w:b/>
                <w:szCs w:val="22"/>
              </w:rPr>
              <w:t>AHPRA</w:t>
            </w:r>
          </w:p>
        </w:tc>
        <w:tc>
          <w:tcPr>
            <w:tcW w:w="6282" w:type="dxa"/>
          </w:tcPr>
          <w:p w14:paraId="55C282F5" w14:textId="77777777" w:rsidR="004C1838" w:rsidRPr="00677889" w:rsidRDefault="004C1838" w:rsidP="004C1838">
            <w:pPr>
              <w:spacing w:before="80" w:after="80" w:line="240" w:lineRule="auto"/>
              <w:rPr>
                <w:szCs w:val="22"/>
              </w:rPr>
            </w:pPr>
            <w:r w:rsidRPr="00677889">
              <w:rPr>
                <w:szCs w:val="22"/>
              </w:rPr>
              <w:t>Australian Health Practitioner Regulation Agency</w:t>
            </w:r>
          </w:p>
        </w:tc>
      </w:tr>
      <w:tr w:rsidR="004C1838" w:rsidRPr="00677889" w14:paraId="6E9776AF" w14:textId="77777777" w:rsidTr="004C112D">
        <w:tc>
          <w:tcPr>
            <w:tcW w:w="2735" w:type="dxa"/>
          </w:tcPr>
          <w:p w14:paraId="45858F09" w14:textId="77777777" w:rsidR="004C1838" w:rsidRPr="00677889" w:rsidRDefault="004C1838" w:rsidP="004C1838">
            <w:pPr>
              <w:spacing w:before="80" w:after="80" w:line="240" w:lineRule="auto"/>
              <w:rPr>
                <w:b/>
                <w:szCs w:val="22"/>
              </w:rPr>
            </w:pPr>
            <w:r w:rsidRPr="00677889">
              <w:rPr>
                <w:b/>
                <w:szCs w:val="22"/>
              </w:rPr>
              <w:t>AMC</w:t>
            </w:r>
          </w:p>
        </w:tc>
        <w:tc>
          <w:tcPr>
            <w:tcW w:w="6282" w:type="dxa"/>
          </w:tcPr>
          <w:p w14:paraId="2FCD35D8" w14:textId="77777777" w:rsidR="004C1838" w:rsidRPr="00677889" w:rsidRDefault="004C1838" w:rsidP="004C1838">
            <w:pPr>
              <w:spacing w:before="80" w:after="80" w:line="240" w:lineRule="auto"/>
              <w:rPr>
                <w:szCs w:val="22"/>
              </w:rPr>
            </w:pPr>
            <w:r w:rsidRPr="00677889">
              <w:rPr>
                <w:szCs w:val="22"/>
              </w:rPr>
              <w:t>Australian Medical Council</w:t>
            </w:r>
          </w:p>
        </w:tc>
      </w:tr>
      <w:tr w:rsidR="004C1838" w:rsidRPr="00677889" w14:paraId="12993AEC" w14:textId="77777777" w:rsidTr="004C112D">
        <w:tc>
          <w:tcPr>
            <w:tcW w:w="2735" w:type="dxa"/>
          </w:tcPr>
          <w:p w14:paraId="43B101E6" w14:textId="77777777" w:rsidR="004C1838" w:rsidRPr="00677889" w:rsidRDefault="004C1838" w:rsidP="004C1838">
            <w:pPr>
              <w:spacing w:before="80" w:after="80" w:line="240" w:lineRule="auto"/>
              <w:rPr>
                <w:b/>
                <w:szCs w:val="22"/>
              </w:rPr>
            </w:pPr>
            <w:r w:rsidRPr="00677889">
              <w:rPr>
                <w:b/>
                <w:szCs w:val="22"/>
              </w:rPr>
              <w:t>AQF</w:t>
            </w:r>
          </w:p>
        </w:tc>
        <w:tc>
          <w:tcPr>
            <w:tcW w:w="6282" w:type="dxa"/>
          </w:tcPr>
          <w:p w14:paraId="78A2A4CD" w14:textId="77777777" w:rsidR="004C1838" w:rsidRPr="00677889" w:rsidRDefault="004C1838" w:rsidP="004C1838">
            <w:pPr>
              <w:spacing w:before="80" w:after="80" w:line="240" w:lineRule="auto"/>
              <w:rPr>
                <w:szCs w:val="22"/>
              </w:rPr>
            </w:pPr>
            <w:r w:rsidRPr="00677889">
              <w:rPr>
                <w:szCs w:val="22"/>
              </w:rPr>
              <w:t>Australian Qualifications Framework</w:t>
            </w:r>
          </w:p>
        </w:tc>
      </w:tr>
      <w:tr w:rsidR="004C1838" w:rsidRPr="00677889" w14:paraId="149076B5" w14:textId="77777777" w:rsidTr="004C112D">
        <w:tc>
          <w:tcPr>
            <w:tcW w:w="2735" w:type="dxa"/>
          </w:tcPr>
          <w:p w14:paraId="1B761952" w14:textId="77777777" w:rsidR="004C1838" w:rsidRPr="00677889" w:rsidRDefault="004C1838" w:rsidP="004C1838">
            <w:pPr>
              <w:spacing w:before="80" w:after="80" w:line="240" w:lineRule="auto"/>
              <w:rPr>
                <w:b/>
                <w:szCs w:val="22"/>
              </w:rPr>
            </w:pPr>
            <w:r w:rsidRPr="00677889">
              <w:rPr>
                <w:b/>
                <w:szCs w:val="22"/>
              </w:rPr>
              <w:t>CAA</w:t>
            </w:r>
          </w:p>
        </w:tc>
        <w:tc>
          <w:tcPr>
            <w:tcW w:w="6282" w:type="dxa"/>
          </w:tcPr>
          <w:p w14:paraId="1CB6315D" w14:textId="77777777" w:rsidR="004C1838" w:rsidRPr="00677889" w:rsidRDefault="004C1838" w:rsidP="004C1838">
            <w:pPr>
              <w:spacing w:before="80" w:after="80" w:line="240" w:lineRule="auto"/>
              <w:rPr>
                <w:szCs w:val="22"/>
              </w:rPr>
            </w:pPr>
            <w:r w:rsidRPr="00677889">
              <w:rPr>
                <w:szCs w:val="22"/>
              </w:rPr>
              <w:t>Chiropractors’ Association Australia</w:t>
            </w:r>
          </w:p>
        </w:tc>
      </w:tr>
      <w:tr w:rsidR="004C1838" w:rsidRPr="00677889" w14:paraId="5B8FB658" w14:textId="77777777" w:rsidTr="004C112D">
        <w:tc>
          <w:tcPr>
            <w:tcW w:w="2735" w:type="dxa"/>
          </w:tcPr>
          <w:p w14:paraId="0526C0E5" w14:textId="77777777" w:rsidR="004C1838" w:rsidRPr="00677889" w:rsidRDefault="004C1838" w:rsidP="004C1838">
            <w:pPr>
              <w:spacing w:before="80" w:after="80" w:line="240" w:lineRule="auto"/>
              <w:rPr>
                <w:b/>
                <w:szCs w:val="22"/>
              </w:rPr>
            </w:pPr>
            <w:r w:rsidRPr="00677889">
              <w:rPr>
                <w:b/>
                <w:szCs w:val="22"/>
              </w:rPr>
              <w:t>CBA</w:t>
            </w:r>
          </w:p>
        </w:tc>
        <w:tc>
          <w:tcPr>
            <w:tcW w:w="6282" w:type="dxa"/>
          </w:tcPr>
          <w:p w14:paraId="3AC2BB14" w14:textId="77777777" w:rsidR="004C1838" w:rsidRPr="00677889" w:rsidRDefault="004C1838" w:rsidP="004C1838">
            <w:pPr>
              <w:spacing w:before="80" w:after="80" w:line="240" w:lineRule="auto"/>
              <w:rPr>
                <w:szCs w:val="22"/>
              </w:rPr>
            </w:pPr>
            <w:r w:rsidRPr="00677889">
              <w:rPr>
                <w:szCs w:val="22"/>
              </w:rPr>
              <w:t>Chiropractic Board of Australia</w:t>
            </w:r>
          </w:p>
        </w:tc>
      </w:tr>
      <w:tr w:rsidR="004C1838" w:rsidRPr="00677889" w14:paraId="18EBFC13" w14:textId="77777777" w:rsidTr="004C112D">
        <w:tc>
          <w:tcPr>
            <w:tcW w:w="2735" w:type="dxa"/>
          </w:tcPr>
          <w:p w14:paraId="33534422" w14:textId="77777777" w:rsidR="004C1838" w:rsidRPr="00677889" w:rsidRDefault="004C1838" w:rsidP="004C1838">
            <w:pPr>
              <w:spacing w:before="80" w:after="80" w:line="240" w:lineRule="auto"/>
              <w:rPr>
                <w:b/>
                <w:szCs w:val="22"/>
              </w:rPr>
            </w:pPr>
            <w:r w:rsidRPr="00677889">
              <w:rPr>
                <w:b/>
                <w:szCs w:val="22"/>
              </w:rPr>
              <w:t>CCEA</w:t>
            </w:r>
          </w:p>
        </w:tc>
        <w:tc>
          <w:tcPr>
            <w:tcW w:w="6282" w:type="dxa"/>
          </w:tcPr>
          <w:p w14:paraId="1C6990FD" w14:textId="77777777" w:rsidR="004C1838" w:rsidRPr="00677889" w:rsidRDefault="004C1838" w:rsidP="004C1838">
            <w:pPr>
              <w:spacing w:before="80" w:after="80" w:line="240" w:lineRule="auto"/>
              <w:rPr>
                <w:szCs w:val="22"/>
              </w:rPr>
            </w:pPr>
            <w:r w:rsidRPr="00677889">
              <w:rPr>
                <w:szCs w:val="22"/>
              </w:rPr>
              <w:t>Council on Chiropractic Education Australasia</w:t>
            </w:r>
          </w:p>
        </w:tc>
      </w:tr>
      <w:tr w:rsidR="004C1838" w:rsidRPr="00677889" w14:paraId="77449E46" w14:textId="77777777" w:rsidTr="004C112D">
        <w:tc>
          <w:tcPr>
            <w:tcW w:w="2735" w:type="dxa"/>
          </w:tcPr>
          <w:p w14:paraId="3032274A" w14:textId="77777777" w:rsidR="004C1838" w:rsidRPr="00677889" w:rsidRDefault="004C1838" w:rsidP="004C1838">
            <w:pPr>
              <w:spacing w:before="80" w:after="80" w:line="240" w:lineRule="auto"/>
              <w:rPr>
                <w:b/>
                <w:szCs w:val="22"/>
              </w:rPr>
            </w:pPr>
            <w:r w:rsidRPr="00677889">
              <w:rPr>
                <w:b/>
                <w:szCs w:val="22"/>
              </w:rPr>
              <w:t>CCEI</w:t>
            </w:r>
          </w:p>
        </w:tc>
        <w:tc>
          <w:tcPr>
            <w:tcW w:w="6282" w:type="dxa"/>
          </w:tcPr>
          <w:p w14:paraId="0F1A192D" w14:textId="77777777" w:rsidR="004C1838" w:rsidRPr="00677889" w:rsidRDefault="004C1838" w:rsidP="004C1838">
            <w:pPr>
              <w:spacing w:before="80" w:after="80" w:line="240" w:lineRule="auto"/>
              <w:rPr>
                <w:szCs w:val="22"/>
              </w:rPr>
            </w:pPr>
            <w:r w:rsidRPr="00677889">
              <w:rPr>
                <w:szCs w:val="22"/>
              </w:rPr>
              <w:t>Councils on Chiropractic Education International</w:t>
            </w:r>
          </w:p>
        </w:tc>
      </w:tr>
      <w:tr w:rsidR="004C1838" w:rsidRPr="00677889" w14:paraId="4012A50F" w14:textId="77777777" w:rsidTr="004C112D">
        <w:tc>
          <w:tcPr>
            <w:tcW w:w="2735" w:type="dxa"/>
          </w:tcPr>
          <w:p w14:paraId="1E78D5D9" w14:textId="77777777" w:rsidR="004C1838" w:rsidRPr="00677889" w:rsidRDefault="004C1838" w:rsidP="004C1838">
            <w:pPr>
              <w:spacing w:before="80" w:after="80" w:line="240" w:lineRule="auto"/>
              <w:rPr>
                <w:b/>
                <w:szCs w:val="22"/>
              </w:rPr>
            </w:pPr>
            <w:r w:rsidRPr="00677889">
              <w:rPr>
                <w:b/>
                <w:szCs w:val="22"/>
              </w:rPr>
              <w:t>COAG</w:t>
            </w:r>
          </w:p>
        </w:tc>
        <w:tc>
          <w:tcPr>
            <w:tcW w:w="6282" w:type="dxa"/>
          </w:tcPr>
          <w:p w14:paraId="1CB0A766" w14:textId="77777777" w:rsidR="004C1838" w:rsidRPr="00677889" w:rsidRDefault="004C1838" w:rsidP="004C1838">
            <w:pPr>
              <w:spacing w:before="80" w:after="80" w:line="240" w:lineRule="auto"/>
              <w:rPr>
                <w:szCs w:val="22"/>
              </w:rPr>
            </w:pPr>
            <w:r w:rsidRPr="00677889">
              <w:rPr>
                <w:szCs w:val="22"/>
              </w:rPr>
              <w:t>Council of Australian Governments</w:t>
            </w:r>
          </w:p>
        </w:tc>
      </w:tr>
      <w:tr w:rsidR="004C1838" w:rsidRPr="00677889" w14:paraId="31AE6A91" w14:textId="77777777" w:rsidTr="004C112D">
        <w:tc>
          <w:tcPr>
            <w:tcW w:w="2735" w:type="dxa"/>
          </w:tcPr>
          <w:p w14:paraId="26530259" w14:textId="77777777" w:rsidR="004C1838" w:rsidRPr="00677889" w:rsidRDefault="004C1838" w:rsidP="004C1838">
            <w:pPr>
              <w:spacing w:before="80" w:after="80" w:line="240" w:lineRule="auto"/>
              <w:rPr>
                <w:b/>
                <w:szCs w:val="22"/>
              </w:rPr>
            </w:pPr>
            <w:r w:rsidRPr="00677889">
              <w:rPr>
                <w:b/>
                <w:szCs w:val="22"/>
              </w:rPr>
              <w:t>HPAC</w:t>
            </w:r>
          </w:p>
        </w:tc>
        <w:tc>
          <w:tcPr>
            <w:tcW w:w="6282" w:type="dxa"/>
          </w:tcPr>
          <w:p w14:paraId="598DD843" w14:textId="77777777" w:rsidR="004C1838" w:rsidRPr="00677889" w:rsidRDefault="004C1838" w:rsidP="004C1838">
            <w:pPr>
              <w:spacing w:before="80" w:after="80" w:line="240" w:lineRule="auto"/>
              <w:rPr>
                <w:szCs w:val="22"/>
              </w:rPr>
            </w:pPr>
            <w:r w:rsidRPr="00677889">
              <w:rPr>
                <w:szCs w:val="22"/>
              </w:rPr>
              <w:t>Health Professions Accreditation Councils’ Forum</w:t>
            </w:r>
          </w:p>
        </w:tc>
      </w:tr>
      <w:tr w:rsidR="004C1838" w:rsidRPr="00677889" w14:paraId="21BF1F6F" w14:textId="77777777" w:rsidTr="004C112D">
        <w:tc>
          <w:tcPr>
            <w:tcW w:w="2735" w:type="dxa"/>
          </w:tcPr>
          <w:p w14:paraId="0B3B098E" w14:textId="77777777" w:rsidR="004C1838" w:rsidRPr="00677889" w:rsidRDefault="004C1838" w:rsidP="004C1838">
            <w:pPr>
              <w:spacing w:before="80" w:after="80" w:line="240" w:lineRule="auto"/>
              <w:rPr>
                <w:b/>
                <w:szCs w:val="22"/>
              </w:rPr>
            </w:pPr>
            <w:r w:rsidRPr="00677889">
              <w:rPr>
                <w:b/>
                <w:szCs w:val="22"/>
              </w:rPr>
              <w:t>NRAS</w:t>
            </w:r>
          </w:p>
        </w:tc>
        <w:tc>
          <w:tcPr>
            <w:tcW w:w="6282" w:type="dxa"/>
          </w:tcPr>
          <w:p w14:paraId="72EA4DFF" w14:textId="77777777" w:rsidR="004C1838" w:rsidRPr="00677889" w:rsidRDefault="004C1838" w:rsidP="004C1838">
            <w:pPr>
              <w:spacing w:before="80" w:after="80" w:line="240" w:lineRule="auto"/>
              <w:rPr>
                <w:szCs w:val="22"/>
              </w:rPr>
            </w:pPr>
            <w:r w:rsidRPr="00677889">
              <w:rPr>
                <w:szCs w:val="22"/>
              </w:rPr>
              <w:t>National registration and accreditation scheme</w:t>
            </w:r>
          </w:p>
        </w:tc>
      </w:tr>
      <w:tr w:rsidR="004C1838" w:rsidRPr="00677889" w14:paraId="0C358666" w14:textId="77777777" w:rsidTr="004C112D">
        <w:tc>
          <w:tcPr>
            <w:tcW w:w="2735" w:type="dxa"/>
          </w:tcPr>
          <w:p w14:paraId="3C25991A" w14:textId="77777777" w:rsidR="004C1838" w:rsidRPr="00677889" w:rsidRDefault="004C1838" w:rsidP="004C1838">
            <w:pPr>
              <w:spacing w:before="80" w:after="80" w:line="240" w:lineRule="auto"/>
              <w:rPr>
                <w:b/>
                <w:szCs w:val="22"/>
              </w:rPr>
            </w:pPr>
            <w:r w:rsidRPr="00677889">
              <w:rPr>
                <w:b/>
                <w:szCs w:val="22"/>
              </w:rPr>
              <w:t>NSQHS</w:t>
            </w:r>
          </w:p>
        </w:tc>
        <w:tc>
          <w:tcPr>
            <w:tcW w:w="6282" w:type="dxa"/>
          </w:tcPr>
          <w:p w14:paraId="096F41A1" w14:textId="77777777" w:rsidR="004C1838" w:rsidRPr="00677889" w:rsidRDefault="004C1838" w:rsidP="004C1838">
            <w:pPr>
              <w:spacing w:before="80" w:after="80" w:line="240" w:lineRule="auto"/>
              <w:rPr>
                <w:szCs w:val="22"/>
              </w:rPr>
            </w:pPr>
            <w:r w:rsidRPr="00677889">
              <w:rPr>
                <w:szCs w:val="22"/>
              </w:rPr>
              <w:t>National Safety and Quality Health Services Standards</w:t>
            </w:r>
          </w:p>
        </w:tc>
      </w:tr>
      <w:tr w:rsidR="004C1838" w:rsidRPr="00677889" w14:paraId="3250027E" w14:textId="77777777" w:rsidTr="004C112D">
        <w:tc>
          <w:tcPr>
            <w:tcW w:w="2735" w:type="dxa"/>
          </w:tcPr>
          <w:p w14:paraId="7C71A069" w14:textId="77777777" w:rsidR="004C1838" w:rsidRPr="00677889" w:rsidRDefault="004C1838" w:rsidP="004C1838">
            <w:pPr>
              <w:spacing w:before="80" w:after="80" w:line="240" w:lineRule="auto"/>
              <w:rPr>
                <w:b/>
                <w:szCs w:val="22"/>
              </w:rPr>
            </w:pPr>
            <w:r w:rsidRPr="00677889">
              <w:rPr>
                <w:b/>
                <w:szCs w:val="22"/>
              </w:rPr>
              <w:t>NZCA</w:t>
            </w:r>
          </w:p>
        </w:tc>
        <w:tc>
          <w:tcPr>
            <w:tcW w:w="6282" w:type="dxa"/>
          </w:tcPr>
          <w:p w14:paraId="2E23E68A" w14:textId="77777777" w:rsidR="004C1838" w:rsidRPr="00677889" w:rsidRDefault="004C1838" w:rsidP="004C1838">
            <w:pPr>
              <w:spacing w:before="80" w:after="80" w:line="240" w:lineRule="auto"/>
              <w:rPr>
                <w:szCs w:val="22"/>
              </w:rPr>
            </w:pPr>
            <w:r w:rsidRPr="00677889">
              <w:rPr>
                <w:szCs w:val="22"/>
              </w:rPr>
              <w:t>New Zealand Chiropractic Association</w:t>
            </w:r>
          </w:p>
        </w:tc>
      </w:tr>
      <w:tr w:rsidR="004C1838" w:rsidRPr="00677889" w14:paraId="51A1BCBE" w14:textId="77777777" w:rsidTr="004C112D">
        <w:tc>
          <w:tcPr>
            <w:tcW w:w="2735" w:type="dxa"/>
          </w:tcPr>
          <w:p w14:paraId="427C64C1" w14:textId="77777777" w:rsidR="004C1838" w:rsidRPr="00677889" w:rsidRDefault="004C1838" w:rsidP="004C1838">
            <w:pPr>
              <w:spacing w:before="80" w:after="80" w:line="240" w:lineRule="auto"/>
              <w:rPr>
                <w:b/>
                <w:szCs w:val="22"/>
              </w:rPr>
            </w:pPr>
            <w:r w:rsidRPr="00677889">
              <w:rPr>
                <w:b/>
                <w:szCs w:val="22"/>
              </w:rPr>
              <w:t>NZCB</w:t>
            </w:r>
          </w:p>
        </w:tc>
        <w:tc>
          <w:tcPr>
            <w:tcW w:w="6282" w:type="dxa"/>
          </w:tcPr>
          <w:p w14:paraId="393216CE" w14:textId="77777777" w:rsidR="004C1838" w:rsidRPr="00677889" w:rsidRDefault="004C1838" w:rsidP="004C1838">
            <w:pPr>
              <w:spacing w:before="80" w:after="80" w:line="240" w:lineRule="auto"/>
              <w:rPr>
                <w:szCs w:val="22"/>
              </w:rPr>
            </w:pPr>
            <w:r w:rsidRPr="00677889">
              <w:rPr>
                <w:szCs w:val="22"/>
              </w:rPr>
              <w:t>New Zealand Chiropractic Board</w:t>
            </w:r>
          </w:p>
        </w:tc>
      </w:tr>
      <w:tr w:rsidR="004C1838" w:rsidRPr="00677889" w14:paraId="7CC95566" w14:textId="77777777" w:rsidTr="004C112D">
        <w:tc>
          <w:tcPr>
            <w:tcW w:w="2735" w:type="dxa"/>
          </w:tcPr>
          <w:p w14:paraId="44D2B20B" w14:textId="77777777" w:rsidR="004C1838" w:rsidRPr="00677889" w:rsidRDefault="004C1838" w:rsidP="004C1838">
            <w:pPr>
              <w:spacing w:before="80" w:after="80" w:line="240" w:lineRule="auto"/>
              <w:rPr>
                <w:b/>
                <w:szCs w:val="22"/>
              </w:rPr>
            </w:pPr>
            <w:r w:rsidRPr="00677889">
              <w:rPr>
                <w:b/>
                <w:szCs w:val="22"/>
              </w:rPr>
              <w:t>NZQA</w:t>
            </w:r>
          </w:p>
        </w:tc>
        <w:tc>
          <w:tcPr>
            <w:tcW w:w="6282" w:type="dxa"/>
          </w:tcPr>
          <w:p w14:paraId="620534D9" w14:textId="77777777" w:rsidR="004C1838" w:rsidRPr="00677889" w:rsidRDefault="004C1838" w:rsidP="004C1838">
            <w:pPr>
              <w:spacing w:before="80" w:after="80" w:line="240" w:lineRule="auto"/>
              <w:rPr>
                <w:szCs w:val="22"/>
              </w:rPr>
            </w:pPr>
            <w:r w:rsidRPr="00677889">
              <w:rPr>
                <w:szCs w:val="22"/>
              </w:rPr>
              <w:t>New Zealand Qualifications Authority</w:t>
            </w:r>
          </w:p>
        </w:tc>
      </w:tr>
      <w:tr w:rsidR="004C1838" w:rsidRPr="00677889" w14:paraId="3E7C3BA7" w14:textId="77777777" w:rsidTr="004C112D">
        <w:tc>
          <w:tcPr>
            <w:tcW w:w="2735" w:type="dxa"/>
          </w:tcPr>
          <w:p w14:paraId="52DE31D3" w14:textId="77777777" w:rsidR="004C1838" w:rsidRPr="00677889" w:rsidRDefault="004C1838" w:rsidP="004C1838">
            <w:pPr>
              <w:spacing w:before="80" w:after="80" w:line="240" w:lineRule="auto"/>
              <w:rPr>
                <w:b/>
                <w:szCs w:val="22"/>
              </w:rPr>
            </w:pPr>
            <w:r w:rsidRPr="00677889">
              <w:rPr>
                <w:b/>
                <w:szCs w:val="22"/>
              </w:rPr>
              <w:t>NZQF</w:t>
            </w:r>
          </w:p>
        </w:tc>
        <w:tc>
          <w:tcPr>
            <w:tcW w:w="6282" w:type="dxa"/>
          </w:tcPr>
          <w:p w14:paraId="312A4A96" w14:textId="77777777" w:rsidR="004C1838" w:rsidRPr="00677889" w:rsidRDefault="004C1838" w:rsidP="004C1838">
            <w:pPr>
              <w:spacing w:before="80" w:after="80" w:line="240" w:lineRule="auto"/>
              <w:rPr>
                <w:szCs w:val="22"/>
              </w:rPr>
            </w:pPr>
            <w:r w:rsidRPr="00677889">
              <w:rPr>
                <w:szCs w:val="22"/>
              </w:rPr>
              <w:t>New Zealand Qualifications Framework - Te Taura Here Tohu Mātauranga o Aotearoa</w:t>
            </w:r>
          </w:p>
        </w:tc>
      </w:tr>
      <w:tr w:rsidR="004C1838" w:rsidRPr="00677889" w14:paraId="4745F1A8" w14:textId="77777777" w:rsidTr="004C112D">
        <w:tc>
          <w:tcPr>
            <w:tcW w:w="2735" w:type="dxa"/>
          </w:tcPr>
          <w:p w14:paraId="3F09435E" w14:textId="77777777" w:rsidR="004C1838" w:rsidRPr="00677889" w:rsidRDefault="004C1838" w:rsidP="004C1838">
            <w:pPr>
              <w:spacing w:before="80" w:after="80" w:line="240" w:lineRule="auto"/>
              <w:rPr>
                <w:b/>
                <w:szCs w:val="22"/>
              </w:rPr>
            </w:pPr>
            <w:r w:rsidRPr="00677889">
              <w:rPr>
                <w:b/>
                <w:szCs w:val="22"/>
              </w:rPr>
              <w:t>TEQSA</w:t>
            </w:r>
          </w:p>
        </w:tc>
        <w:tc>
          <w:tcPr>
            <w:tcW w:w="6282" w:type="dxa"/>
          </w:tcPr>
          <w:p w14:paraId="616A54D9" w14:textId="77777777" w:rsidR="004C1838" w:rsidRPr="00677889" w:rsidRDefault="004C1838" w:rsidP="004C1838">
            <w:pPr>
              <w:spacing w:before="80" w:after="80" w:line="240" w:lineRule="auto"/>
              <w:rPr>
                <w:szCs w:val="22"/>
              </w:rPr>
            </w:pPr>
            <w:r w:rsidRPr="00677889">
              <w:rPr>
                <w:szCs w:val="22"/>
              </w:rPr>
              <w:t>Tertiary Education Quality and Standards Agency</w:t>
            </w:r>
          </w:p>
        </w:tc>
      </w:tr>
    </w:tbl>
    <w:p w14:paraId="6154984A" w14:textId="77777777" w:rsidR="004C1838" w:rsidRPr="00677889" w:rsidRDefault="004C1838" w:rsidP="004C1838">
      <w:pPr>
        <w:pStyle w:val="BodyText"/>
      </w:pPr>
    </w:p>
    <w:p w14:paraId="05633C0F" w14:textId="77777777" w:rsidR="004C1838" w:rsidRPr="00677889" w:rsidRDefault="004C1838" w:rsidP="004C1838">
      <w:pPr>
        <w:pStyle w:val="BodyText"/>
        <w:rPr>
          <w:rFonts w:eastAsia="Arial Unicode MS"/>
        </w:rPr>
      </w:pPr>
      <w:r w:rsidRPr="00677889">
        <w:br w:type="page"/>
      </w:r>
    </w:p>
    <w:p w14:paraId="4B03B183" w14:textId="77777777" w:rsidR="006702C1" w:rsidRPr="00677889" w:rsidRDefault="000A16A8" w:rsidP="006702C1">
      <w:pPr>
        <w:pStyle w:val="Heading1"/>
      </w:pPr>
      <w:bookmarkStart w:id="129" w:name="_Toc446242294"/>
      <w:r w:rsidRPr="00677889">
        <w:lastRenderedPageBreak/>
        <w:t xml:space="preserve">APPENDIX 2 - </w:t>
      </w:r>
      <w:r w:rsidR="006702C1" w:rsidRPr="00677889">
        <w:t>GLOSSARY</w:t>
      </w:r>
      <w:bookmarkEnd w:id="127"/>
      <w:bookmarkEnd w:id="128"/>
      <w:bookmarkEnd w:id="129"/>
    </w:p>
    <w:p w14:paraId="67BDD2EB" w14:textId="77777777" w:rsidR="006702C1" w:rsidRPr="00677889" w:rsidRDefault="006702C1" w:rsidP="006702C1">
      <w:pPr>
        <w:keepLines w:val="0"/>
        <w:widowControl/>
        <w:spacing w:before="120" w:after="120"/>
        <w:rPr>
          <w:rFonts w:asciiTheme="minorHAnsi" w:hAnsiTheme="minorHAnsi" w:cstheme="minorHAnsi"/>
          <w:color w:val="auto"/>
          <w:szCs w:val="21"/>
        </w:rPr>
      </w:pPr>
      <w:r w:rsidRPr="00677889">
        <w:rPr>
          <w:rFonts w:asciiTheme="minorHAnsi" w:hAnsiTheme="minorHAnsi" w:cstheme="minorHAnsi"/>
          <w:b/>
          <w:color w:val="auto"/>
          <w:szCs w:val="21"/>
        </w:rPr>
        <w:t>Chiropractic Board of Australia</w:t>
      </w:r>
      <w:r w:rsidRPr="00677889">
        <w:rPr>
          <w:rFonts w:asciiTheme="minorHAnsi" w:hAnsiTheme="minorHAnsi" w:cstheme="minorHAnsi"/>
          <w:color w:val="auto"/>
          <w:szCs w:val="21"/>
        </w:rPr>
        <w:t>—(CBA or the Board) is the national regulator for the chiropractic profession in Australia. It is established under the Health Practitioner Regulation National Law, as in force in each state and territory. Its primary role is to protect the public and set standards and policies that all chiropractors registered within Australian must meet.</w:t>
      </w:r>
    </w:p>
    <w:p w14:paraId="78516386" w14:textId="77777777" w:rsidR="006702C1" w:rsidRPr="00677889" w:rsidRDefault="006702C1" w:rsidP="006702C1">
      <w:pPr>
        <w:keepLines w:val="0"/>
        <w:widowControl/>
        <w:spacing w:before="120" w:after="120"/>
        <w:rPr>
          <w:rFonts w:asciiTheme="minorHAnsi" w:hAnsiTheme="minorHAnsi" w:cstheme="minorHAnsi"/>
          <w:color w:val="auto"/>
          <w:szCs w:val="21"/>
        </w:rPr>
      </w:pPr>
      <w:r w:rsidRPr="00677889">
        <w:rPr>
          <w:rFonts w:asciiTheme="minorHAnsi" w:hAnsiTheme="minorHAnsi" w:cstheme="minorHAnsi"/>
          <w:b/>
          <w:color w:val="auto"/>
          <w:szCs w:val="21"/>
        </w:rPr>
        <w:t>Council on Chiropractic Education Australasia</w:t>
      </w:r>
      <w:r w:rsidRPr="00677889">
        <w:rPr>
          <w:rFonts w:asciiTheme="minorHAnsi" w:hAnsiTheme="minorHAnsi" w:cstheme="minorHAnsi"/>
          <w:color w:val="auto"/>
          <w:szCs w:val="21"/>
        </w:rPr>
        <w:t>—CCEA is the independent accreditation authority for chiropractic under the National Registration and Accreditation Scheme in Australia and the New Zealand Chiropractic Board. CCEA sets standards for accreditation and accredits chiropractic programs leading to registration; and the providers of those programs. CCEA is also responsible for the development and review of the competency or practice standards used to assess the competence of students undertaking entry level education programs. The assessment of internationally qualified chiropractors seeking to be registered in Australia</w:t>
      </w:r>
      <w:r w:rsidR="00752349" w:rsidRPr="00677889">
        <w:rPr>
          <w:rFonts w:asciiTheme="minorHAnsi" w:hAnsiTheme="minorHAnsi" w:cstheme="minorHAnsi"/>
          <w:color w:val="auto"/>
          <w:szCs w:val="21"/>
        </w:rPr>
        <w:t>,</w:t>
      </w:r>
      <w:r w:rsidRPr="00677889">
        <w:rPr>
          <w:rFonts w:asciiTheme="minorHAnsi" w:hAnsiTheme="minorHAnsi" w:cstheme="minorHAnsi"/>
          <w:color w:val="auto"/>
          <w:szCs w:val="21"/>
        </w:rPr>
        <w:t xml:space="preserve"> New Zealand is also undertaken by CCEA.</w:t>
      </w:r>
    </w:p>
    <w:p w14:paraId="656409EF" w14:textId="77777777" w:rsidR="006702C1" w:rsidRPr="00677889" w:rsidRDefault="006702C1" w:rsidP="006702C1">
      <w:pPr>
        <w:keepLines w:val="0"/>
        <w:widowControl/>
        <w:spacing w:before="120" w:after="120"/>
        <w:rPr>
          <w:rFonts w:asciiTheme="minorHAnsi" w:hAnsiTheme="minorHAnsi" w:cstheme="minorHAnsi"/>
          <w:color w:val="auto"/>
          <w:szCs w:val="21"/>
        </w:rPr>
      </w:pPr>
      <w:r w:rsidRPr="00677889">
        <w:rPr>
          <w:rFonts w:asciiTheme="minorHAnsi" w:hAnsiTheme="minorHAnsi" w:cstheme="minorHAnsi"/>
          <w:b/>
          <w:color w:val="auto"/>
          <w:szCs w:val="21"/>
        </w:rPr>
        <w:t>Competence</w:t>
      </w:r>
      <w:r w:rsidRPr="00677889">
        <w:rPr>
          <w:rFonts w:asciiTheme="minorHAnsi" w:hAnsiTheme="minorHAnsi" w:cstheme="minorHAnsi"/>
          <w:color w:val="auto"/>
          <w:szCs w:val="21"/>
        </w:rPr>
        <w:t>—the combination of skills, knowledge, attitudes, values and capabilities underpinning effective and/or superior performance in a profession or occupational area.</w:t>
      </w:r>
    </w:p>
    <w:p w14:paraId="49DDF236" w14:textId="77777777" w:rsidR="006702C1" w:rsidRPr="00677889" w:rsidRDefault="006702C1" w:rsidP="006702C1">
      <w:pPr>
        <w:keepLines w:val="0"/>
        <w:widowControl/>
        <w:spacing w:before="120" w:after="120"/>
        <w:rPr>
          <w:rFonts w:asciiTheme="minorHAnsi" w:hAnsiTheme="minorHAnsi" w:cstheme="minorHAnsi"/>
          <w:color w:val="auto"/>
          <w:szCs w:val="21"/>
        </w:rPr>
      </w:pPr>
      <w:r w:rsidRPr="00677889">
        <w:rPr>
          <w:rFonts w:asciiTheme="minorHAnsi" w:hAnsiTheme="minorHAnsi" w:cstheme="minorHAnsi"/>
          <w:b/>
          <w:color w:val="auto"/>
          <w:szCs w:val="21"/>
        </w:rPr>
        <w:t>Competencies</w:t>
      </w:r>
      <w:r w:rsidRPr="00677889">
        <w:rPr>
          <w:rFonts w:asciiTheme="minorHAnsi" w:hAnsiTheme="minorHAnsi" w:cstheme="minorHAnsi"/>
          <w:color w:val="auto"/>
          <w:szCs w:val="21"/>
        </w:rPr>
        <w:t xml:space="preserve">—the knowledge, skills, attitudes, values and behaviours needed to adequately perform a function. Observable, measurable and assessable behaviours that are multi-dimensional, dynamic, and evolve over time. Competencies may be assessed to ensure acquisition. Usually written as statements describing the levels of knowledge, skills, attitudes, values and capabilities expected of graduates. </w:t>
      </w:r>
    </w:p>
    <w:p w14:paraId="62A1DA08" w14:textId="77777777" w:rsidR="006702C1" w:rsidRPr="00677889" w:rsidRDefault="006702C1" w:rsidP="006702C1">
      <w:pPr>
        <w:keepLines w:val="0"/>
        <w:widowControl/>
        <w:spacing w:before="120" w:after="120"/>
        <w:rPr>
          <w:rFonts w:asciiTheme="minorHAnsi" w:hAnsiTheme="minorHAnsi" w:cstheme="minorHAnsi"/>
          <w:color w:val="auto"/>
          <w:szCs w:val="21"/>
        </w:rPr>
      </w:pPr>
      <w:r w:rsidRPr="00677889">
        <w:rPr>
          <w:rFonts w:asciiTheme="minorHAnsi" w:hAnsiTheme="minorHAnsi" w:cstheme="minorHAnsi"/>
          <w:b/>
          <w:color w:val="auto"/>
          <w:szCs w:val="21"/>
        </w:rPr>
        <w:t>Competency</w:t>
      </w:r>
      <w:r w:rsidRPr="00677889">
        <w:rPr>
          <w:rFonts w:asciiTheme="minorHAnsi" w:hAnsiTheme="minorHAnsi" w:cstheme="minorHAnsi"/>
          <w:color w:val="auto"/>
          <w:szCs w:val="21"/>
        </w:rPr>
        <w:t>—an observable and measurable behaviour that integrates and displays multiple components such as knowledge, skills, attitudes, values and capabilities.</w:t>
      </w:r>
    </w:p>
    <w:p w14:paraId="76364BA1" w14:textId="77777777" w:rsidR="006702C1" w:rsidRPr="00677889" w:rsidRDefault="006702C1" w:rsidP="006702C1">
      <w:pPr>
        <w:keepLines w:val="0"/>
        <w:widowControl/>
        <w:spacing w:before="120" w:after="120"/>
        <w:rPr>
          <w:rFonts w:asciiTheme="minorHAnsi" w:hAnsiTheme="minorHAnsi" w:cstheme="minorHAnsi"/>
          <w:color w:val="auto"/>
          <w:szCs w:val="21"/>
        </w:rPr>
      </w:pPr>
      <w:r w:rsidRPr="00677889">
        <w:rPr>
          <w:rFonts w:asciiTheme="minorHAnsi" w:hAnsiTheme="minorHAnsi" w:cstheme="minorHAnsi"/>
          <w:b/>
          <w:color w:val="auto"/>
          <w:szCs w:val="21"/>
        </w:rPr>
        <w:t>Competent</w:t>
      </w:r>
      <w:r w:rsidRPr="00677889">
        <w:rPr>
          <w:rFonts w:asciiTheme="minorHAnsi" w:hAnsiTheme="minorHAnsi" w:cstheme="minorHAnsi"/>
          <w:color w:val="auto"/>
          <w:szCs w:val="21"/>
        </w:rPr>
        <w:t>—the levels of knowledge, skills, attitudes, values and capabilities required by the new graduates to begin independent, unsupervised chiropractic practice.</w:t>
      </w:r>
    </w:p>
    <w:p w14:paraId="1C0060D1" w14:textId="77777777" w:rsidR="006702C1" w:rsidRPr="00677889" w:rsidRDefault="006702C1" w:rsidP="006702C1">
      <w:pPr>
        <w:keepLines w:val="0"/>
        <w:widowControl/>
        <w:spacing w:before="120" w:after="120"/>
        <w:rPr>
          <w:rFonts w:asciiTheme="minorHAnsi" w:hAnsiTheme="minorHAnsi" w:cstheme="minorHAnsi"/>
          <w:color w:val="auto"/>
          <w:szCs w:val="21"/>
        </w:rPr>
      </w:pPr>
      <w:r w:rsidRPr="00677889">
        <w:rPr>
          <w:rFonts w:asciiTheme="minorHAnsi" w:hAnsiTheme="minorHAnsi" w:cstheme="minorHAnsi"/>
          <w:b/>
          <w:color w:val="auto"/>
          <w:szCs w:val="21"/>
        </w:rPr>
        <w:t>Criteria</w:t>
      </w:r>
      <w:r w:rsidRPr="00677889">
        <w:rPr>
          <w:rFonts w:asciiTheme="minorHAnsi" w:hAnsiTheme="minorHAnsi" w:cstheme="minorHAnsi"/>
          <w:color w:val="auto"/>
          <w:szCs w:val="21"/>
        </w:rPr>
        <w:t>—rules or tests on which a judgement or decision in relation to compliance with the Accreditation Standards can be based.</w:t>
      </w:r>
    </w:p>
    <w:p w14:paraId="558EF92E" w14:textId="77777777" w:rsidR="006702C1" w:rsidRPr="00677889" w:rsidRDefault="006702C1" w:rsidP="006702C1">
      <w:pPr>
        <w:keepLines w:val="0"/>
        <w:widowControl/>
        <w:spacing w:before="120" w:after="120"/>
        <w:rPr>
          <w:rFonts w:asciiTheme="minorHAnsi" w:hAnsiTheme="minorHAnsi" w:cstheme="minorHAnsi"/>
          <w:color w:val="auto"/>
          <w:szCs w:val="21"/>
        </w:rPr>
      </w:pPr>
      <w:r w:rsidRPr="00677889">
        <w:rPr>
          <w:rFonts w:asciiTheme="minorHAnsi" w:hAnsiTheme="minorHAnsi" w:cstheme="minorHAnsi"/>
          <w:b/>
          <w:color w:val="auto"/>
          <w:szCs w:val="21"/>
        </w:rPr>
        <w:t>Cultural competence</w:t>
      </w:r>
      <w:r w:rsidRPr="00677889">
        <w:rPr>
          <w:rFonts w:asciiTheme="minorHAnsi" w:hAnsiTheme="minorHAnsi" w:cstheme="minorHAnsi"/>
          <w:color w:val="auto"/>
          <w:szCs w:val="21"/>
        </w:rPr>
        <w:t>—A set of congruent behaviours, attitudes, and policies that enable an individual to work effectively in cross-cultural situations.</w:t>
      </w:r>
    </w:p>
    <w:p w14:paraId="68FA4FF2" w14:textId="77777777" w:rsidR="006702C1" w:rsidRPr="00677889" w:rsidRDefault="006702C1" w:rsidP="006702C1">
      <w:pPr>
        <w:keepLines w:val="0"/>
        <w:widowControl/>
        <w:spacing w:before="120" w:after="120"/>
        <w:rPr>
          <w:rFonts w:asciiTheme="minorHAnsi" w:hAnsiTheme="minorHAnsi" w:cstheme="minorHAnsi"/>
          <w:color w:val="auto"/>
          <w:szCs w:val="21"/>
        </w:rPr>
      </w:pPr>
      <w:r w:rsidRPr="00677889">
        <w:rPr>
          <w:rFonts w:asciiTheme="minorHAnsi" w:hAnsiTheme="minorHAnsi" w:cstheme="minorHAnsi"/>
          <w:b/>
          <w:color w:val="auto"/>
          <w:szCs w:val="21"/>
        </w:rPr>
        <w:t>Curriculum</w:t>
      </w:r>
      <w:r w:rsidRPr="00677889">
        <w:rPr>
          <w:rFonts w:asciiTheme="minorHAnsi" w:hAnsiTheme="minorHAnsi" w:cstheme="minorHAnsi"/>
          <w:color w:val="auto"/>
          <w:szCs w:val="21"/>
        </w:rPr>
        <w:t>—the full outline of a program of study, usually built around a conceptual framework with the educational and professional chiropractic philosophies underpinning the curriculum and includes: the philosophy for the program; the program structure and delivery modes; subject outlines; linkages between subject objectives, learning outcomes and their assessment, and national competencies or standards of practice; teaching and learning strategies; and a clinical experience plan. A curriculum covers both explicit curriculum and the implicit curriculum components (the latter is important in developing professional attitudes, values and beliefs of the learners).</w:t>
      </w:r>
    </w:p>
    <w:p w14:paraId="65D9E8E1" w14:textId="77777777" w:rsidR="006702C1" w:rsidRPr="00677889" w:rsidRDefault="006702C1" w:rsidP="006702C1">
      <w:pPr>
        <w:keepLines w:val="0"/>
        <w:widowControl/>
        <w:spacing w:before="120" w:after="120"/>
        <w:rPr>
          <w:rFonts w:asciiTheme="minorHAnsi" w:hAnsiTheme="minorHAnsi" w:cstheme="minorHAnsi"/>
          <w:color w:val="auto"/>
          <w:szCs w:val="21"/>
        </w:rPr>
      </w:pPr>
      <w:r w:rsidRPr="00677889">
        <w:rPr>
          <w:rFonts w:asciiTheme="minorHAnsi" w:hAnsiTheme="minorHAnsi" w:cstheme="minorHAnsi"/>
          <w:b/>
          <w:color w:val="auto"/>
          <w:szCs w:val="21"/>
        </w:rPr>
        <w:t>Education provider</w:t>
      </w:r>
      <w:r w:rsidRPr="00677889">
        <w:rPr>
          <w:rFonts w:asciiTheme="minorHAnsi" w:hAnsiTheme="minorHAnsi" w:cstheme="minorHAnsi"/>
          <w:color w:val="auto"/>
          <w:szCs w:val="21"/>
        </w:rPr>
        <w:t xml:space="preserve">—university, or other higher education provider, recognised by government, responsible for a program of study, the graduates of which are eligible to apply to the New Zealand Chiropractic Board or Chiropractic Board of Australia for chiropractic registration. It is the education provider who has control of what qualification can be awarded, has to sign off on the structure, assessment methods used etc (through an academic board or council, teaching and learning specialists etc). </w:t>
      </w:r>
    </w:p>
    <w:p w14:paraId="73C7E424" w14:textId="77777777" w:rsidR="006702C1" w:rsidRPr="00677889" w:rsidRDefault="00C7597C" w:rsidP="006702C1">
      <w:pPr>
        <w:keepLines w:val="0"/>
        <w:widowControl/>
        <w:spacing w:before="120" w:after="120"/>
        <w:rPr>
          <w:rFonts w:asciiTheme="minorHAnsi" w:hAnsiTheme="minorHAnsi" w:cstheme="minorHAnsi"/>
          <w:color w:val="auto"/>
          <w:szCs w:val="21"/>
          <w:lang w:val="en-US"/>
        </w:rPr>
      </w:pPr>
      <w:r w:rsidRPr="00677889">
        <w:rPr>
          <w:rFonts w:asciiTheme="minorHAnsi" w:hAnsiTheme="minorHAnsi" w:cstheme="minorHAnsi"/>
          <w:b/>
          <w:color w:val="auto"/>
          <w:szCs w:val="21"/>
        </w:rPr>
        <w:lastRenderedPageBreak/>
        <w:t>Evidence based practice</w:t>
      </w:r>
      <w:r w:rsidR="008E717B" w:rsidRPr="00677889">
        <w:rPr>
          <w:rFonts w:asciiTheme="minorHAnsi" w:hAnsiTheme="minorHAnsi" w:cstheme="minorHAnsi"/>
          <w:color w:val="auto"/>
          <w:szCs w:val="21"/>
          <w:lang w:val="en-US"/>
        </w:rPr>
        <w:t>—</w:t>
      </w:r>
      <w:r w:rsidRPr="00677889">
        <w:rPr>
          <w:rFonts w:asciiTheme="minorHAnsi" w:hAnsiTheme="minorHAnsi" w:cstheme="minorHAnsi"/>
          <w:color w:val="auto"/>
          <w:szCs w:val="21"/>
        </w:rPr>
        <w:t>is the integration of clinical expertise, patient values, and the best research evidence into the decision making process for patient care. Clinical expertise refers to the clinician's cumulated experience, education and clinical skills. The patient brings to the encounter their own personal and unique concerns, expectations, and values. The best evidence is usually found in clinically relevant research that has been conducted using sound methodology.</w:t>
      </w:r>
      <w:r w:rsidRPr="00677889">
        <w:rPr>
          <w:rStyle w:val="FootnoteReference"/>
          <w:rFonts w:cstheme="minorHAnsi"/>
          <w:color w:val="auto"/>
          <w:szCs w:val="21"/>
        </w:rPr>
        <w:footnoteReference w:id="15"/>
      </w:r>
    </w:p>
    <w:p w14:paraId="56882234" w14:textId="77777777" w:rsidR="00954BE5" w:rsidRPr="00677889" w:rsidRDefault="00954BE5" w:rsidP="006702C1">
      <w:pPr>
        <w:keepLines w:val="0"/>
        <w:widowControl/>
        <w:spacing w:before="120" w:after="120"/>
        <w:rPr>
          <w:rFonts w:asciiTheme="minorHAnsi" w:hAnsiTheme="minorHAnsi" w:cstheme="minorHAnsi"/>
          <w:b/>
          <w:color w:val="auto"/>
          <w:szCs w:val="21"/>
        </w:rPr>
      </w:pPr>
      <w:r w:rsidRPr="00677889">
        <w:rPr>
          <w:rFonts w:asciiTheme="minorHAnsi" w:hAnsiTheme="minorHAnsi" w:cstheme="minorHAnsi"/>
          <w:b/>
          <w:color w:val="auto"/>
          <w:szCs w:val="21"/>
          <w:lang w:val="en-US"/>
        </w:rPr>
        <w:t>Evidence informed</w:t>
      </w:r>
      <w:r w:rsidR="008E717B" w:rsidRPr="00677889">
        <w:rPr>
          <w:rFonts w:asciiTheme="minorHAnsi" w:hAnsiTheme="minorHAnsi" w:cstheme="minorHAnsi"/>
          <w:b/>
          <w:color w:val="auto"/>
          <w:szCs w:val="21"/>
          <w:lang w:val="en-US"/>
        </w:rPr>
        <w:t xml:space="preserve"> practice</w:t>
      </w:r>
      <w:r w:rsidR="00003605" w:rsidRPr="00677889">
        <w:rPr>
          <w:rFonts w:asciiTheme="minorHAnsi" w:hAnsiTheme="minorHAnsi" w:cstheme="minorHAnsi"/>
          <w:color w:val="auto"/>
          <w:szCs w:val="21"/>
          <w:lang w:val="en-US"/>
        </w:rPr>
        <w:t>—</w:t>
      </w:r>
      <w:r w:rsidR="008E717B" w:rsidRPr="00677889">
        <w:rPr>
          <w:rFonts w:asciiTheme="minorHAnsi" w:hAnsiTheme="minorHAnsi" w:cstheme="minorHAnsi"/>
          <w:color w:val="auto"/>
          <w:szCs w:val="21"/>
          <w:lang w:val="en-US"/>
        </w:rPr>
        <w:t>is</w:t>
      </w:r>
      <w:r w:rsidR="00003605" w:rsidRPr="00677889">
        <w:rPr>
          <w:rFonts w:asciiTheme="minorHAnsi" w:hAnsiTheme="minorHAnsi" w:cstheme="minorHAnsi"/>
          <w:color w:val="auto"/>
          <w:szCs w:val="21"/>
          <w:lang w:val="en-US"/>
        </w:rPr>
        <w:t xml:space="preserve"> used synonymously with evidence based practice.</w:t>
      </w:r>
    </w:p>
    <w:p w14:paraId="3F94F8BC" w14:textId="77777777" w:rsidR="006702C1" w:rsidRPr="00677889" w:rsidRDefault="006702C1" w:rsidP="006702C1">
      <w:pPr>
        <w:keepLines w:val="0"/>
        <w:widowControl/>
        <w:spacing w:before="120" w:after="120"/>
        <w:rPr>
          <w:rFonts w:asciiTheme="minorHAnsi" w:hAnsiTheme="minorHAnsi" w:cstheme="minorHAnsi"/>
          <w:color w:val="auto"/>
          <w:szCs w:val="21"/>
          <w:lang w:val="en-US"/>
        </w:rPr>
      </w:pPr>
      <w:r w:rsidRPr="00677889">
        <w:rPr>
          <w:rFonts w:asciiTheme="minorHAnsi" w:hAnsiTheme="minorHAnsi" w:cstheme="minorHAnsi"/>
          <w:b/>
          <w:color w:val="auto"/>
          <w:szCs w:val="21"/>
        </w:rPr>
        <w:t>Governance</w:t>
      </w:r>
      <w:r w:rsidRPr="00677889">
        <w:rPr>
          <w:rFonts w:asciiTheme="minorHAnsi" w:hAnsiTheme="minorHAnsi" w:cstheme="minorHAnsi"/>
          <w:color w:val="auto"/>
          <w:szCs w:val="21"/>
        </w:rPr>
        <w:t>—</w:t>
      </w:r>
      <w:r w:rsidRPr="00677889">
        <w:rPr>
          <w:rFonts w:asciiTheme="minorHAnsi" w:hAnsiTheme="minorHAnsi" w:cstheme="minorHAnsi"/>
          <w:color w:val="auto"/>
          <w:szCs w:val="21"/>
          <w:lang w:val="en-US"/>
        </w:rPr>
        <w:t>encompasses the system by which an organisation is controlled and operates, and the mechanisms by which it, and its people, are held to account. Ethics, risk management, compliance and administration are all elements of governance.</w:t>
      </w:r>
    </w:p>
    <w:p w14:paraId="511727F3" w14:textId="77777777" w:rsidR="006702C1" w:rsidRPr="00677889" w:rsidRDefault="006702C1" w:rsidP="006702C1">
      <w:pPr>
        <w:keepLines w:val="0"/>
        <w:widowControl/>
        <w:spacing w:before="120" w:after="120"/>
        <w:rPr>
          <w:rFonts w:asciiTheme="minorHAnsi" w:hAnsiTheme="minorHAnsi" w:cstheme="minorHAnsi"/>
          <w:color w:val="auto"/>
          <w:szCs w:val="21"/>
        </w:rPr>
      </w:pPr>
      <w:r w:rsidRPr="00677889">
        <w:rPr>
          <w:rFonts w:asciiTheme="minorHAnsi" w:hAnsiTheme="minorHAnsi" w:cstheme="minorHAnsi"/>
          <w:b/>
          <w:i/>
          <w:color w:val="auto"/>
          <w:szCs w:val="21"/>
        </w:rPr>
        <w:t>Health Practitioners Competence Assurance Act 2003</w:t>
      </w:r>
      <w:r w:rsidR="00D14A79" w:rsidRPr="00677889">
        <w:rPr>
          <w:rFonts w:asciiTheme="minorHAnsi" w:hAnsiTheme="minorHAnsi" w:cstheme="minorHAnsi"/>
          <w:b/>
          <w:i/>
          <w:color w:val="auto"/>
          <w:szCs w:val="21"/>
        </w:rPr>
        <w:t xml:space="preserve"> (NZ)</w:t>
      </w:r>
      <w:r w:rsidRPr="00677889">
        <w:rPr>
          <w:rFonts w:asciiTheme="minorHAnsi" w:hAnsiTheme="minorHAnsi" w:cstheme="minorHAnsi"/>
          <w:color w:val="auto"/>
          <w:szCs w:val="21"/>
        </w:rPr>
        <w:t>—The New Zealand legislation regulating the conduct, health and competence of health professionals.</w:t>
      </w:r>
    </w:p>
    <w:p w14:paraId="00648573" w14:textId="77777777" w:rsidR="006702C1" w:rsidRPr="00677889" w:rsidRDefault="006702C1" w:rsidP="006702C1">
      <w:pPr>
        <w:keepLines w:val="0"/>
        <w:widowControl/>
        <w:spacing w:before="120" w:after="120"/>
        <w:rPr>
          <w:rFonts w:asciiTheme="minorHAnsi" w:hAnsiTheme="minorHAnsi" w:cstheme="minorHAnsi"/>
          <w:b/>
          <w:i/>
          <w:color w:val="auto"/>
          <w:szCs w:val="21"/>
        </w:rPr>
      </w:pPr>
      <w:r w:rsidRPr="00677889">
        <w:rPr>
          <w:rFonts w:asciiTheme="minorHAnsi" w:hAnsiTheme="minorHAnsi" w:cstheme="minorHAnsi"/>
          <w:b/>
          <w:i/>
          <w:color w:val="auto"/>
          <w:szCs w:val="21"/>
        </w:rPr>
        <w:t>Section 3 - Purpose of Act</w:t>
      </w:r>
    </w:p>
    <w:p w14:paraId="2B603D08" w14:textId="77777777" w:rsidR="006702C1" w:rsidRPr="00677889" w:rsidRDefault="006702C1" w:rsidP="002A11E0">
      <w:pPr>
        <w:keepLines w:val="0"/>
        <w:widowControl/>
        <w:numPr>
          <w:ilvl w:val="0"/>
          <w:numId w:val="15"/>
        </w:numPr>
        <w:spacing w:before="120" w:after="120"/>
        <w:rPr>
          <w:rFonts w:asciiTheme="minorHAnsi" w:hAnsiTheme="minorHAnsi" w:cstheme="minorHAnsi"/>
          <w:i/>
          <w:color w:val="auto"/>
          <w:szCs w:val="21"/>
        </w:rPr>
      </w:pPr>
      <w:r w:rsidRPr="00677889">
        <w:rPr>
          <w:rFonts w:asciiTheme="minorHAnsi" w:hAnsiTheme="minorHAnsi" w:cstheme="minorHAnsi"/>
          <w:i/>
          <w:color w:val="auto"/>
          <w:szCs w:val="21"/>
        </w:rPr>
        <w:t>The principal purpose of this Act is to protect the health and safety of members of the public by providing for mechanisms to ensure that health practitioners are competent and fit to practise their professions.</w:t>
      </w:r>
    </w:p>
    <w:p w14:paraId="261234D9" w14:textId="77777777" w:rsidR="006702C1" w:rsidRPr="00677889" w:rsidRDefault="006702C1" w:rsidP="002A11E0">
      <w:pPr>
        <w:keepLines w:val="0"/>
        <w:widowControl/>
        <w:numPr>
          <w:ilvl w:val="0"/>
          <w:numId w:val="15"/>
        </w:numPr>
        <w:spacing w:before="120" w:after="120"/>
        <w:rPr>
          <w:rFonts w:asciiTheme="minorHAnsi" w:hAnsiTheme="minorHAnsi" w:cstheme="minorHAnsi"/>
          <w:i/>
          <w:color w:val="auto"/>
          <w:szCs w:val="21"/>
        </w:rPr>
      </w:pPr>
      <w:r w:rsidRPr="00677889">
        <w:rPr>
          <w:rFonts w:asciiTheme="minorHAnsi" w:hAnsiTheme="minorHAnsi" w:cstheme="minorHAnsi"/>
          <w:i/>
          <w:color w:val="auto"/>
          <w:szCs w:val="21"/>
        </w:rPr>
        <w:t>This Act seeks to attain its principal purpose by providing, among other things,—</w:t>
      </w:r>
    </w:p>
    <w:p w14:paraId="23824200" w14:textId="77777777" w:rsidR="006702C1" w:rsidRPr="00677889" w:rsidRDefault="006702C1" w:rsidP="002A11E0">
      <w:pPr>
        <w:keepLines w:val="0"/>
        <w:widowControl/>
        <w:numPr>
          <w:ilvl w:val="1"/>
          <w:numId w:val="15"/>
        </w:numPr>
        <w:spacing w:before="120" w:after="120"/>
        <w:rPr>
          <w:rFonts w:asciiTheme="minorHAnsi" w:hAnsiTheme="minorHAnsi" w:cstheme="minorHAnsi"/>
          <w:i/>
          <w:color w:val="auto"/>
          <w:szCs w:val="21"/>
        </w:rPr>
      </w:pPr>
      <w:r w:rsidRPr="00677889">
        <w:rPr>
          <w:rFonts w:asciiTheme="minorHAnsi" w:hAnsiTheme="minorHAnsi" w:cstheme="minorHAnsi"/>
          <w:i/>
          <w:color w:val="auto"/>
          <w:szCs w:val="21"/>
        </w:rPr>
        <w:t>for a consistent accountability regime for all health professions; and</w:t>
      </w:r>
    </w:p>
    <w:p w14:paraId="572AB352" w14:textId="77777777" w:rsidR="006702C1" w:rsidRPr="00677889" w:rsidRDefault="006702C1" w:rsidP="002A11E0">
      <w:pPr>
        <w:keepLines w:val="0"/>
        <w:widowControl/>
        <w:numPr>
          <w:ilvl w:val="1"/>
          <w:numId w:val="15"/>
        </w:numPr>
        <w:spacing w:before="120" w:after="120"/>
        <w:rPr>
          <w:rFonts w:asciiTheme="minorHAnsi" w:hAnsiTheme="minorHAnsi" w:cstheme="minorHAnsi"/>
          <w:i/>
          <w:color w:val="auto"/>
          <w:szCs w:val="21"/>
        </w:rPr>
      </w:pPr>
      <w:r w:rsidRPr="00677889">
        <w:rPr>
          <w:rFonts w:asciiTheme="minorHAnsi" w:hAnsiTheme="minorHAnsi" w:cstheme="minorHAnsi"/>
          <w:i/>
          <w:color w:val="auto"/>
          <w:szCs w:val="21"/>
        </w:rPr>
        <w:t>for the determination for each health practitioner of the scope of practice within which he or she is competent to practise; and</w:t>
      </w:r>
    </w:p>
    <w:p w14:paraId="1C2E28E8" w14:textId="77777777" w:rsidR="006702C1" w:rsidRPr="00677889" w:rsidRDefault="006702C1" w:rsidP="002A11E0">
      <w:pPr>
        <w:keepLines w:val="0"/>
        <w:widowControl/>
        <w:numPr>
          <w:ilvl w:val="1"/>
          <w:numId w:val="15"/>
        </w:numPr>
        <w:spacing w:before="120" w:after="120"/>
        <w:rPr>
          <w:rFonts w:asciiTheme="minorHAnsi" w:hAnsiTheme="minorHAnsi" w:cstheme="minorHAnsi"/>
          <w:i/>
          <w:color w:val="auto"/>
          <w:szCs w:val="21"/>
        </w:rPr>
      </w:pPr>
      <w:r w:rsidRPr="00677889">
        <w:rPr>
          <w:rFonts w:asciiTheme="minorHAnsi" w:hAnsiTheme="minorHAnsi" w:cstheme="minorHAnsi"/>
          <w:i/>
          <w:color w:val="auto"/>
          <w:szCs w:val="21"/>
        </w:rPr>
        <w:t>for systems to ensure that no health practitioner practises in that capacity outside his or her scope of practice; and</w:t>
      </w:r>
    </w:p>
    <w:p w14:paraId="31E41723" w14:textId="77777777" w:rsidR="006702C1" w:rsidRPr="00677889" w:rsidRDefault="006702C1" w:rsidP="002A11E0">
      <w:pPr>
        <w:keepLines w:val="0"/>
        <w:widowControl/>
        <w:numPr>
          <w:ilvl w:val="1"/>
          <w:numId w:val="15"/>
        </w:numPr>
        <w:spacing w:before="120" w:after="120"/>
        <w:rPr>
          <w:rFonts w:asciiTheme="minorHAnsi" w:hAnsiTheme="minorHAnsi" w:cstheme="minorHAnsi"/>
          <w:i/>
          <w:color w:val="auto"/>
          <w:szCs w:val="21"/>
        </w:rPr>
      </w:pPr>
      <w:r w:rsidRPr="00677889">
        <w:rPr>
          <w:rFonts w:asciiTheme="minorHAnsi" w:hAnsiTheme="minorHAnsi" w:cstheme="minorHAnsi"/>
          <w:i/>
          <w:color w:val="auto"/>
          <w:szCs w:val="21"/>
        </w:rPr>
        <w:t>for power to restrict specified activities to particular classes of health practitioner to protect members of the public from the risk of serious or permanent harm; and</w:t>
      </w:r>
    </w:p>
    <w:p w14:paraId="16585ECD" w14:textId="77777777" w:rsidR="006702C1" w:rsidRPr="00677889" w:rsidRDefault="006702C1" w:rsidP="002A11E0">
      <w:pPr>
        <w:keepLines w:val="0"/>
        <w:widowControl/>
        <w:numPr>
          <w:ilvl w:val="1"/>
          <w:numId w:val="15"/>
        </w:numPr>
        <w:spacing w:before="120" w:after="120"/>
        <w:rPr>
          <w:rFonts w:asciiTheme="minorHAnsi" w:hAnsiTheme="minorHAnsi" w:cstheme="minorHAnsi"/>
          <w:i/>
          <w:color w:val="auto"/>
          <w:szCs w:val="21"/>
        </w:rPr>
      </w:pPr>
      <w:r w:rsidRPr="00677889">
        <w:rPr>
          <w:rFonts w:asciiTheme="minorHAnsi" w:hAnsiTheme="minorHAnsi" w:cstheme="minorHAnsi"/>
          <w:i/>
          <w:color w:val="auto"/>
          <w:szCs w:val="21"/>
        </w:rPr>
        <w:t>for certain protections for health practitioners who take part in protected quality assurance activities; and</w:t>
      </w:r>
    </w:p>
    <w:p w14:paraId="5739A414" w14:textId="77777777" w:rsidR="006702C1" w:rsidRPr="00677889" w:rsidRDefault="006702C1" w:rsidP="002A11E0">
      <w:pPr>
        <w:keepLines w:val="0"/>
        <w:widowControl/>
        <w:numPr>
          <w:ilvl w:val="1"/>
          <w:numId w:val="15"/>
        </w:numPr>
        <w:spacing w:before="120" w:after="120"/>
        <w:rPr>
          <w:rFonts w:asciiTheme="minorHAnsi" w:hAnsiTheme="minorHAnsi" w:cstheme="minorHAnsi"/>
          <w:i/>
          <w:color w:val="auto"/>
          <w:szCs w:val="21"/>
        </w:rPr>
      </w:pPr>
      <w:r w:rsidRPr="00677889">
        <w:rPr>
          <w:rFonts w:asciiTheme="minorHAnsi" w:hAnsiTheme="minorHAnsi" w:cstheme="minorHAnsi"/>
          <w:i/>
          <w:color w:val="auto"/>
          <w:szCs w:val="21"/>
        </w:rPr>
        <w:t>for additional health professions to become subject to this Act.</w:t>
      </w:r>
    </w:p>
    <w:p w14:paraId="595889A7" w14:textId="77777777" w:rsidR="006702C1" w:rsidRPr="00677889" w:rsidRDefault="006702C1" w:rsidP="006702C1">
      <w:pPr>
        <w:keepLines w:val="0"/>
        <w:widowControl/>
        <w:spacing w:before="120" w:after="120"/>
        <w:rPr>
          <w:rFonts w:asciiTheme="minorHAnsi" w:hAnsiTheme="minorHAnsi" w:cstheme="minorHAnsi"/>
          <w:color w:val="auto"/>
          <w:szCs w:val="21"/>
        </w:rPr>
      </w:pPr>
      <w:r w:rsidRPr="00677889">
        <w:rPr>
          <w:rFonts w:asciiTheme="minorHAnsi" w:hAnsiTheme="minorHAnsi" w:cstheme="minorHAnsi"/>
          <w:b/>
          <w:i/>
          <w:color w:val="auto"/>
          <w:szCs w:val="21"/>
        </w:rPr>
        <w:t>Health Practitioner Regulation National Law Act 2009</w:t>
      </w:r>
      <w:r w:rsidRPr="00677889">
        <w:rPr>
          <w:rFonts w:asciiTheme="minorHAnsi" w:hAnsiTheme="minorHAnsi" w:cstheme="minorHAnsi"/>
          <w:color w:val="auto"/>
          <w:szCs w:val="21"/>
        </w:rPr>
        <w:t xml:space="preserve"> (National Law)—contained in the Schedule to the Act. This second stage legislation provides for the full operation of the National Registration and Accreditation Scheme for health professions from 1 July 2010 and covers the more substantial elements of the national scheme, including registration arrangements, accreditation arrangements, complaints, conduct, health and performance arrangements, and privacy and information-sharing arrangements. The purpose is to protect the public by establishing a national scheme for regulating health practitioners and students undertaking programs of study leading to registration as a health practitioner. The National Law is legislated in each state and territory. The Health Practitioner Regulation (Administrative Arrangements) National Law Act 2008 outlines the administrative arrangements established under the first stage of the National Registration and Accreditation Scheme for the Health Professions (Act A).</w:t>
      </w:r>
    </w:p>
    <w:p w14:paraId="34A5A535" w14:textId="77777777" w:rsidR="006702C1" w:rsidRPr="00677889" w:rsidRDefault="006702C1" w:rsidP="006702C1">
      <w:pPr>
        <w:keepLines w:val="0"/>
        <w:widowControl/>
        <w:spacing w:before="120" w:after="120"/>
        <w:rPr>
          <w:rFonts w:asciiTheme="minorHAnsi" w:hAnsiTheme="minorHAnsi" w:cstheme="minorHAnsi"/>
          <w:color w:val="auto"/>
          <w:szCs w:val="21"/>
        </w:rPr>
      </w:pPr>
      <w:r w:rsidRPr="00677889">
        <w:rPr>
          <w:rFonts w:asciiTheme="minorHAnsi" w:hAnsiTheme="minorHAnsi" w:cstheme="minorHAnsi"/>
          <w:b/>
          <w:color w:val="auto"/>
          <w:szCs w:val="21"/>
        </w:rPr>
        <w:lastRenderedPageBreak/>
        <w:t>Higher education provider</w:t>
      </w:r>
      <w:r w:rsidRPr="00677889">
        <w:rPr>
          <w:rFonts w:asciiTheme="minorHAnsi" w:hAnsiTheme="minorHAnsi" w:cstheme="minorHAnsi"/>
          <w:color w:val="auto"/>
          <w:szCs w:val="21"/>
        </w:rPr>
        <w:t>—tertiary education provider who meets the Higher Education Standards Framework (Threshold Standards) as prescribed by the Tertiary Education Quality and Standards Agency Act 2011 and is currently registered with TEQSA or NZQA</w:t>
      </w:r>
      <w:r w:rsidR="00B003B1" w:rsidRPr="00677889">
        <w:rPr>
          <w:rFonts w:asciiTheme="minorHAnsi" w:hAnsiTheme="minorHAnsi" w:cstheme="minorHAnsi"/>
          <w:color w:val="auto"/>
          <w:szCs w:val="21"/>
        </w:rPr>
        <w:t xml:space="preserve"> (or equivalent)</w:t>
      </w:r>
      <w:r w:rsidRPr="00677889">
        <w:rPr>
          <w:rFonts w:asciiTheme="minorHAnsi" w:hAnsiTheme="minorHAnsi" w:cstheme="minorHAnsi"/>
          <w:color w:val="auto"/>
          <w:szCs w:val="21"/>
        </w:rPr>
        <w:t>.</w:t>
      </w:r>
    </w:p>
    <w:p w14:paraId="51BFBE6A" w14:textId="77777777" w:rsidR="009178D9" w:rsidRPr="00677889" w:rsidRDefault="009178D9" w:rsidP="006702C1">
      <w:pPr>
        <w:keepLines w:val="0"/>
        <w:widowControl/>
        <w:spacing w:before="120" w:after="120"/>
        <w:rPr>
          <w:rFonts w:asciiTheme="minorHAnsi" w:hAnsiTheme="minorHAnsi" w:cstheme="minorHAnsi"/>
          <w:color w:val="auto"/>
          <w:szCs w:val="21"/>
        </w:rPr>
      </w:pPr>
      <w:r w:rsidRPr="00677889">
        <w:rPr>
          <w:rFonts w:asciiTheme="minorHAnsi" w:hAnsiTheme="minorHAnsi" w:cstheme="minorHAnsi"/>
          <w:b/>
          <w:color w:val="auto"/>
          <w:szCs w:val="21"/>
        </w:rPr>
        <w:t>Informed consent</w:t>
      </w:r>
      <w:r w:rsidR="00330A6B" w:rsidRPr="00677889">
        <w:rPr>
          <w:rFonts w:asciiTheme="minorHAnsi" w:hAnsiTheme="minorHAnsi" w:cstheme="minorHAnsi"/>
          <w:color w:val="auto"/>
          <w:szCs w:val="21"/>
        </w:rPr>
        <w:t>—</w:t>
      </w:r>
      <w:r w:rsidRPr="00677889">
        <w:rPr>
          <w:rFonts w:asciiTheme="minorHAnsi" w:hAnsiTheme="minorHAnsi" w:cstheme="minorHAnsi"/>
          <w:color w:val="auto"/>
          <w:szCs w:val="21"/>
        </w:rPr>
        <w:t xml:space="preserve">Informed consent is a person’s voluntary decision about healthcare that is made with knowledge and understanding of the benefits and risks involved. A useful guide to the information that chiropractors need to give to patients is available in the National Health and Medical Research Council (NHMRC) publication </w:t>
      </w:r>
      <w:r w:rsidRPr="00677889">
        <w:rPr>
          <w:rFonts w:asciiTheme="minorHAnsi" w:hAnsiTheme="minorHAnsi" w:cstheme="minorHAnsi"/>
          <w:i/>
          <w:color w:val="auto"/>
          <w:szCs w:val="21"/>
        </w:rPr>
        <w:t>General guidelines for medical practitioners in providing information to patients</w:t>
      </w:r>
      <w:r w:rsidRPr="00677889">
        <w:rPr>
          <w:rFonts w:asciiTheme="minorHAnsi" w:hAnsiTheme="minorHAnsi" w:cstheme="minorHAnsi"/>
          <w:color w:val="auto"/>
          <w:szCs w:val="21"/>
        </w:rPr>
        <w:t>.</w:t>
      </w:r>
      <w:r w:rsidR="00B003B1" w:rsidRPr="00677889">
        <w:rPr>
          <w:rStyle w:val="FootnoteReference"/>
          <w:rFonts w:cstheme="minorHAnsi"/>
          <w:color w:val="auto"/>
          <w:szCs w:val="21"/>
        </w:rPr>
        <w:footnoteReference w:id="16"/>
      </w:r>
    </w:p>
    <w:p w14:paraId="43F8D262" w14:textId="77777777" w:rsidR="006702C1" w:rsidRPr="00677889" w:rsidRDefault="006702C1" w:rsidP="006702C1">
      <w:pPr>
        <w:keepLines w:val="0"/>
        <w:widowControl/>
        <w:spacing w:before="120" w:after="120"/>
        <w:rPr>
          <w:rFonts w:asciiTheme="minorHAnsi" w:hAnsiTheme="minorHAnsi" w:cstheme="minorHAnsi"/>
          <w:color w:val="auto"/>
          <w:szCs w:val="21"/>
        </w:rPr>
      </w:pPr>
      <w:r w:rsidRPr="00677889">
        <w:rPr>
          <w:rFonts w:asciiTheme="minorHAnsi" w:hAnsiTheme="minorHAnsi" w:cstheme="minorHAnsi"/>
          <w:b/>
          <w:color w:val="auto"/>
          <w:szCs w:val="21"/>
        </w:rPr>
        <w:t>Interprofessional learning</w:t>
      </w:r>
      <w:r w:rsidRPr="00677889">
        <w:rPr>
          <w:rFonts w:asciiTheme="minorHAnsi" w:hAnsiTheme="minorHAnsi" w:cstheme="minorHAnsi"/>
          <w:color w:val="auto"/>
          <w:szCs w:val="21"/>
        </w:rPr>
        <w:t>—occurs when two or more professions learn with, from and about each other to improve collaboration and the quality of care.</w:t>
      </w:r>
    </w:p>
    <w:p w14:paraId="3BABC654" w14:textId="77777777" w:rsidR="006702C1" w:rsidRPr="00677889" w:rsidRDefault="006702C1" w:rsidP="006702C1">
      <w:pPr>
        <w:keepLines w:val="0"/>
        <w:widowControl/>
        <w:spacing w:before="120" w:after="120"/>
        <w:rPr>
          <w:rFonts w:asciiTheme="minorHAnsi" w:hAnsiTheme="minorHAnsi" w:cstheme="minorHAnsi"/>
          <w:color w:val="auto"/>
          <w:szCs w:val="21"/>
        </w:rPr>
      </w:pPr>
      <w:r w:rsidRPr="00677889">
        <w:rPr>
          <w:rFonts w:asciiTheme="minorHAnsi" w:hAnsiTheme="minorHAnsi" w:cstheme="minorHAnsi"/>
          <w:b/>
          <w:color w:val="auto"/>
          <w:szCs w:val="21"/>
        </w:rPr>
        <w:t>New Zealand Qualifications Framework</w:t>
      </w:r>
      <w:r w:rsidR="00330A6B" w:rsidRPr="00677889">
        <w:rPr>
          <w:rFonts w:asciiTheme="minorHAnsi" w:hAnsiTheme="minorHAnsi" w:cstheme="minorHAnsi"/>
          <w:color w:val="auto"/>
          <w:szCs w:val="21"/>
        </w:rPr>
        <w:t>—</w:t>
      </w:r>
      <w:r w:rsidRPr="00677889">
        <w:rPr>
          <w:rFonts w:asciiTheme="minorHAnsi" w:hAnsiTheme="minorHAnsi" w:cstheme="minorHAnsi"/>
          <w:color w:val="auto"/>
          <w:szCs w:val="21"/>
        </w:rPr>
        <w:t>(NZQF) is the definitive source for accurate and current information on quality assured qualifications in New Zealand. It covers senior secondary school qualifications and tertiary education qualifications. The NZQF is designed to:</w:t>
      </w:r>
    </w:p>
    <w:p w14:paraId="47E45E5B" w14:textId="77777777" w:rsidR="006702C1" w:rsidRPr="00677889" w:rsidRDefault="006702C1" w:rsidP="002A11E0">
      <w:pPr>
        <w:keepLines w:val="0"/>
        <w:widowControl/>
        <w:numPr>
          <w:ilvl w:val="0"/>
          <w:numId w:val="14"/>
        </w:numPr>
        <w:spacing w:before="120" w:after="120"/>
        <w:ind w:left="426" w:hanging="426"/>
        <w:rPr>
          <w:rFonts w:asciiTheme="minorHAnsi" w:hAnsiTheme="minorHAnsi" w:cstheme="minorHAnsi"/>
          <w:color w:val="auto"/>
          <w:szCs w:val="21"/>
        </w:rPr>
      </w:pPr>
      <w:r w:rsidRPr="00677889">
        <w:rPr>
          <w:rFonts w:asciiTheme="minorHAnsi" w:hAnsiTheme="minorHAnsi" w:cstheme="minorHAnsi"/>
          <w:color w:val="auto"/>
          <w:szCs w:val="21"/>
        </w:rPr>
        <w:t>provide information about the skills, knowledge and attributes a graduate gains by completing a qualification</w:t>
      </w:r>
    </w:p>
    <w:p w14:paraId="1F049ABC" w14:textId="77777777" w:rsidR="006702C1" w:rsidRPr="00677889" w:rsidRDefault="006702C1" w:rsidP="002A11E0">
      <w:pPr>
        <w:keepLines w:val="0"/>
        <w:widowControl/>
        <w:numPr>
          <w:ilvl w:val="0"/>
          <w:numId w:val="14"/>
        </w:numPr>
        <w:spacing w:before="120" w:after="120"/>
        <w:ind w:left="426" w:hanging="426"/>
        <w:rPr>
          <w:rFonts w:asciiTheme="minorHAnsi" w:hAnsiTheme="minorHAnsi" w:cstheme="minorHAnsi"/>
          <w:color w:val="auto"/>
          <w:szCs w:val="21"/>
        </w:rPr>
      </w:pPr>
      <w:r w:rsidRPr="00677889">
        <w:rPr>
          <w:rFonts w:asciiTheme="minorHAnsi" w:hAnsiTheme="minorHAnsi" w:cstheme="minorHAnsi"/>
          <w:color w:val="auto"/>
          <w:szCs w:val="21"/>
        </w:rPr>
        <w:t>provide a clear education pathway, to establish what further education the qualification leads to</w:t>
      </w:r>
    </w:p>
    <w:p w14:paraId="0EB0D154" w14:textId="77777777" w:rsidR="006702C1" w:rsidRPr="00677889" w:rsidRDefault="006702C1" w:rsidP="002A11E0">
      <w:pPr>
        <w:keepLines w:val="0"/>
        <w:widowControl/>
        <w:numPr>
          <w:ilvl w:val="0"/>
          <w:numId w:val="14"/>
        </w:numPr>
        <w:spacing w:before="120" w:after="120"/>
        <w:ind w:left="426" w:hanging="426"/>
        <w:rPr>
          <w:rFonts w:asciiTheme="minorHAnsi" w:hAnsiTheme="minorHAnsi" w:cstheme="minorHAnsi"/>
          <w:color w:val="auto"/>
          <w:szCs w:val="21"/>
        </w:rPr>
      </w:pPr>
      <w:r w:rsidRPr="00677889">
        <w:rPr>
          <w:rFonts w:asciiTheme="minorHAnsi" w:hAnsiTheme="minorHAnsi" w:cstheme="minorHAnsi"/>
          <w:color w:val="auto"/>
          <w:szCs w:val="21"/>
        </w:rPr>
        <w:t>enable and support the development of integrated and coherent qualifications</w:t>
      </w:r>
    </w:p>
    <w:p w14:paraId="305B2B61" w14:textId="77777777" w:rsidR="006702C1" w:rsidRPr="00677889" w:rsidRDefault="006702C1" w:rsidP="002A11E0">
      <w:pPr>
        <w:keepLines w:val="0"/>
        <w:widowControl/>
        <w:numPr>
          <w:ilvl w:val="0"/>
          <w:numId w:val="14"/>
        </w:numPr>
        <w:spacing w:before="120" w:after="120"/>
        <w:ind w:left="426" w:hanging="426"/>
        <w:rPr>
          <w:rFonts w:asciiTheme="minorHAnsi" w:hAnsiTheme="minorHAnsi" w:cstheme="minorHAnsi"/>
          <w:color w:val="auto"/>
          <w:szCs w:val="21"/>
        </w:rPr>
      </w:pPr>
      <w:r w:rsidRPr="00677889">
        <w:rPr>
          <w:rFonts w:asciiTheme="minorHAnsi" w:hAnsiTheme="minorHAnsi" w:cstheme="minorHAnsi"/>
          <w:color w:val="auto"/>
          <w:szCs w:val="21"/>
        </w:rPr>
        <w:t>give confidence in the quality and international comparability of New Zealand qualifications</w:t>
      </w:r>
    </w:p>
    <w:p w14:paraId="349BF3FE" w14:textId="77777777" w:rsidR="006702C1" w:rsidRPr="00677889" w:rsidRDefault="006702C1" w:rsidP="002A11E0">
      <w:pPr>
        <w:keepLines w:val="0"/>
        <w:widowControl/>
        <w:numPr>
          <w:ilvl w:val="0"/>
          <w:numId w:val="14"/>
        </w:numPr>
        <w:spacing w:before="120" w:after="120"/>
        <w:ind w:left="426" w:hanging="426"/>
        <w:rPr>
          <w:rFonts w:asciiTheme="minorHAnsi" w:hAnsiTheme="minorHAnsi" w:cstheme="minorHAnsi"/>
          <w:color w:val="auto"/>
          <w:szCs w:val="21"/>
        </w:rPr>
      </w:pPr>
      <w:r w:rsidRPr="00677889">
        <w:rPr>
          <w:rFonts w:asciiTheme="minorHAnsi" w:hAnsiTheme="minorHAnsi" w:cstheme="minorHAnsi"/>
          <w:color w:val="auto"/>
          <w:szCs w:val="21"/>
        </w:rPr>
        <w:t>contribute to the strengthening of Māori as a people by enhancing and advancing Mātauranga Māori (Māori knowledge)</w:t>
      </w:r>
    </w:p>
    <w:p w14:paraId="5DEC2340" w14:textId="77777777" w:rsidR="006702C1" w:rsidRPr="00677889" w:rsidRDefault="006702C1" w:rsidP="002A11E0">
      <w:pPr>
        <w:keepLines w:val="0"/>
        <w:widowControl/>
        <w:numPr>
          <w:ilvl w:val="0"/>
          <w:numId w:val="14"/>
        </w:numPr>
        <w:spacing w:before="120" w:after="120"/>
        <w:ind w:left="426" w:hanging="426"/>
        <w:rPr>
          <w:rFonts w:asciiTheme="minorHAnsi" w:hAnsiTheme="minorHAnsi" w:cstheme="minorHAnsi"/>
          <w:color w:val="auto"/>
          <w:szCs w:val="21"/>
        </w:rPr>
      </w:pPr>
      <w:r w:rsidRPr="00677889">
        <w:rPr>
          <w:rFonts w:asciiTheme="minorHAnsi" w:hAnsiTheme="minorHAnsi" w:cstheme="minorHAnsi"/>
          <w:color w:val="auto"/>
          <w:szCs w:val="21"/>
        </w:rPr>
        <w:t>be sustainable and robust.</w:t>
      </w:r>
    </w:p>
    <w:p w14:paraId="47112F22" w14:textId="77777777" w:rsidR="006702C1" w:rsidRPr="00677889" w:rsidRDefault="006702C1" w:rsidP="006702C1">
      <w:pPr>
        <w:keepLines w:val="0"/>
        <w:widowControl/>
        <w:spacing w:before="120" w:after="120"/>
        <w:rPr>
          <w:rFonts w:asciiTheme="minorHAnsi" w:hAnsiTheme="minorHAnsi" w:cstheme="minorHAnsi"/>
          <w:color w:val="auto"/>
          <w:szCs w:val="21"/>
        </w:rPr>
      </w:pPr>
      <w:r w:rsidRPr="00677889">
        <w:rPr>
          <w:rFonts w:asciiTheme="minorHAnsi" w:hAnsiTheme="minorHAnsi" w:cstheme="minorHAnsi"/>
          <w:b/>
          <w:color w:val="auto"/>
          <w:szCs w:val="21"/>
        </w:rPr>
        <w:t>Notes</w:t>
      </w:r>
      <w:r w:rsidRPr="00677889">
        <w:rPr>
          <w:rFonts w:asciiTheme="minorHAnsi" w:hAnsiTheme="minorHAnsi" w:cstheme="minorHAnsi"/>
          <w:color w:val="auto"/>
          <w:szCs w:val="21"/>
        </w:rPr>
        <w:t>—are used to clarify, amplify or exemplify expressions in the standards.</w:t>
      </w:r>
    </w:p>
    <w:p w14:paraId="7949FFDE" w14:textId="77777777" w:rsidR="006702C1" w:rsidRPr="00677889" w:rsidRDefault="00330A6B" w:rsidP="006702C1">
      <w:pPr>
        <w:keepLines w:val="0"/>
        <w:widowControl/>
        <w:spacing w:before="120" w:after="120"/>
        <w:rPr>
          <w:rFonts w:asciiTheme="minorHAnsi" w:hAnsiTheme="minorHAnsi" w:cstheme="minorHAnsi"/>
          <w:color w:val="auto"/>
          <w:szCs w:val="21"/>
        </w:rPr>
      </w:pPr>
      <w:r w:rsidRPr="00677889">
        <w:rPr>
          <w:rFonts w:asciiTheme="minorHAnsi" w:hAnsiTheme="minorHAnsi" w:cstheme="minorHAnsi"/>
          <w:b/>
          <w:color w:val="auto"/>
          <w:szCs w:val="21"/>
          <w:lang w:val="en-US"/>
        </w:rPr>
        <w:t>Patient</w:t>
      </w:r>
      <w:r w:rsidRPr="00677889">
        <w:rPr>
          <w:rFonts w:asciiTheme="minorHAnsi" w:hAnsiTheme="minorHAnsi" w:cstheme="minorHAnsi"/>
          <w:color w:val="auto"/>
          <w:szCs w:val="21"/>
        </w:rPr>
        <w:t>—</w:t>
      </w:r>
      <w:r w:rsidR="006702C1" w:rsidRPr="00677889">
        <w:rPr>
          <w:rFonts w:asciiTheme="minorHAnsi" w:hAnsiTheme="minorHAnsi" w:cstheme="minorHAnsi"/>
          <w:color w:val="auto"/>
          <w:szCs w:val="21"/>
        </w:rPr>
        <w:t>refers to the person requiring or receiving health care, treatment, advice or other related services. It includes the full range of alternative terms such as client, resident and health consumer.</w:t>
      </w:r>
    </w:p>
    <w:p w14:paraId="26E9E3A8" w14:textId="77777777" w:rsidR="006702C1" w:rsidRPr="00677889" w:rsidRDefault="006702C1" w:rsidP="006702C1">
      <w:pPr>
        <w:keepLines w:val="0"/>
        <w:widowControl/>
        <w:spacing w:before="120" w:after="120"/>
        <w:rPr>
          <w:rFonts w:asciiTheme="minorHAnsi" w:hAnsiTheme="minorHAnsi" w:cstheme="minorHAnsi"/>
          <w:color w:val="auto"/>
          <w:szCs w:val="21"/>
        </w:rPr>
      </w:pPr>
      <w:r w:rsidRPr="00677889">
        <w:rPr>
          <w:rFonts w:asciiTheme="minorHAnsi" w:hAnsiTheme="minorHAnsi" w:cstheme="minorHAnsi"/>
          <w:b/>
          <w:color w:val="auto"/>
          <w:szCs w:val="21"/>
        </w:rPr>
        <w:t>Primary health care</w:t>
      </w:r>
      <w:r w:rsidRPr="00677889">
        <w:rPr>
          <w:rFonts w:asciiTheme="minorHAnsi" w:hAnsiTheme="minorHAnsi" w:cstheme="minorHAnsi"/>
          <w:color w:val="auto"/>
          <w:szCs w:val="21"/>
        </w:rPr>
        <w:t xml:space="preserve">—is </w:t>
      </w:r>
      <w:r w:rsidR="00CD171C" w:rsidRPr="00677889">
        <w:rPr>
          <w:rFonts w:asciiTheme="minorHAnsi" w:hAnsiTheme="minorHAnsi" w:cstheme="minorHAnsi"/>
          <w:color w:val="auto"/>
          <w:szCs w:val="21"/>
        </w:rPr>
        <w:t>the first level of contact individuals, families and communities have with the health care system</w:t>
      </w:r>
      <w:r w:rsidRPr="00677889">
        <w:rPr>
          <w:rFonts w:asciiTheme="minorHAnsi" w:hAnsiTheme="minorHAnsi" w:cstheme="minorHAnsi"/>
          <w:color w:val="auto"/>
          <w:szCs w:val="21"/>
        </w:rPr>
        <w:t>.</w:t>
      </w:r>
      <w:r w:rsidRPr="00677889">
        <w:rPr>
          <w:rFonts w:asciiTheme="minorHAnsi" w:hAnsiTheme="minorHAnsi" w:cstheme="minorHAnsi"/>
          <w:color w:val="auto"/>
          <w:szCs w:val="21"/>
          <w:vertAlign w:val="superscript"/>
        </w:rPr>
        <w:footnoteReference w:id="17"/>
      </w:r>
    </w:p>
    <w:p w14:paraId="75CF6F2E" w14:textId="77777777" w:rsidR="006702C1" w:rsidRPr="00677889" w:rsidRDefault="006702C1" w:rsidP="006702C1">
      <w:pPr>
        <w:keepLines w:val="0"/>
        <w:widowControl/>
        <w:spacing w:before="120" w:after="120"/>
        <w:rPr>
          <w:rFonts w:asciiTheme="minorHAnsi" w:hAnsiTheme="minorHAnsi" w:cstheme="minorHAnsi"/>
          <w:color w:val="auto"/>
          <w:szCs w:val="21"/>
        </w:rPr>
      </w:pPr>
      <w:r w:rsidRPr="00677889">
        <w:rPr>
          <w:rFonts w:asciiTheme="minorHAnsi" w:hAnsiTheme="minorHAnsi" w:cstheme="minorHAnsi"/>
          <w:b/>
          <w:color w:val="auto"/>
          <w:szCs w:val="21"/>
        </w:rPr>
        <w:t>Program or program of study</w:t>
      </w:r>
      <w:r w:rsidRPr="00677889">
        <w:rPr>
          <w:rFonts w:asciiTheme="minorHAnsi" w:hAnsiTheme="minorHAnsi" w:cstheme="minorHAnsi"/>
          <w:color w:val="auto"/>
          <w:szCs w:val="21"/>
        </w:rPr>
        <w:t xml:space="preserve">—the full program of study and experiences that must be completed before a qualification recognised </w:t>
      </w:r>
      <w:r w:rsidR="00F24AB9" w:rsidRPr="00677889">
        <w:rPr>
          <w:rFonts w:asciiTheme="minorHAnsi" w:hAnsiTheme="minorHAnsi" w:cstheme="minorHAnsi"/>
          <w:color w:val="auto"/>
          <w:szCs w:val="21"/>
        </w:rPr>
        <w:t xml:space="preserve">such as a Bachelor or Masters Degree of Chiropractic, </w:t>
      </w:r>
      <w:r w:rsidRPr="00677889">
        <w:rPr>
          <w:rFonts w:asciiTheme="minorHAnsi" w:hAnsiTheme="minorHAnsi" w:cstheme="minorHAnsi"/>
          <w:color w:val="auto"/>
          <w:szCs w:val="21"/>
        </w:rPr>
        <w:t>under the AQF or NZQF</w:t>
      </w:r>
      <w:r w:rsidR="00F24AB9" w:rsidRPr="00677889">
        <w:rPr>
          <w:rFonts w:asciiTheme="minorHAnsi" w:hAnsiTheme="minorHAnsi" w:cstheme="minorHAnsi"/>
          <w:color w:val="auto"/>
          <w:szCs w:val="21"/>
        </w:rPr>
        <w:t xml:space="preserve"> (in the case of Australia and New Zealand)</w:t>
      </w:r>
      <w:r w:rsidRPr="00677889">
        <w:rPr>
          <w:rFonts w:asciiTheme="minorHAnsi" w:hAnsiTheme="minorHAnsi" w:cstheme="minorHAnsi"/>
          <w:color w:val="auto"/>
          <w:szCs w:val="21"/>
        </w:rPr>
        <w:t>,</w:t>
      </w:r>
      <w:r w:rsidR="00F24AB9" w:rsidRPr="00677889">
        <w:rPr>
          <w:rFonts w:asciiTheme="minorHAnsi" w:hAnsiTheme="minorHAnsi" w:cstheme="minorHAnsi"/>
          <w:color w:val="auto"/>
          <w:szCs w:val="21"/>
        </w:rPr>
        <w:t xml:space="preserve"> can be awarded.</w:t>
      </w:r>
    </w:p>
    <w:p w14:paraId="450D092D" w14:textId="20B56DE2" w:rsidR="009D45D9" w:rsidRPr="00677889" w:rsidRDefault="009D45D9" w:rsidP="006702C1">
      <w:pPr>
        <w:keepLines w:val="0"/>
        <w:widowControl/>
        <w:spacing w:before="120" w:after="120"/>
        <w:rPr>
          <w:rFonts w:asciiTheme="minorHAnsi" w:hAnsiTheme="minorHAnsi" w:cstheme="minorHAnsi"/>
          <w:b/>
          <w:color w:val="auto"/>
          <w:szCs w:val="21"/>
        </w:rPr>
      </w:pPr>
      <w:r w:rsidRPr="00677889">
        <w:rPr>
          <w:rFonts w:asciiTheme="minorHAnsi" w:hAnsiTheme="minorHAnsi" w:cstheme="minorHAnsi"/>
          <w:b/>
          <w:color w:val="auto"/>
          <w:szCs w:val="21"/>
        </w:rPr>
        <w:t>Provider</w:t>
      </w:r>
      <w:r w:rsidRPr="00677889">
        <w:rPr>
          <w:rFonts w:asciiTheme="minorHAnsi" w:hAnsiTheme="minorHAnsi" w:cstheme="minorHAnsi"/>
          <w:color w:val="auto"/>
          <w:szCs w:val="21"/>
        </w:rPr>
        <w:t>—</w:t>
      </w:r>
      <w:r w:rsidR="00686773" w:rsidRPr="00677889">
        <w:rPr>
          <w:rFonts w:asciiTheme="minorHAnsi" w:hAnsiTheme="minorHAnsi" w:cstheme="minorHAnsi"/>
          <w:color w:val="auto"/>
          <w:szCs w:val="21"/>
        </w:rPr>
        <w:t xml:space="preserve"> is used in Standards for consistency and </w:t>
      </w:r>
      <w:r w:rsidRPr="00677889">
        <w:rPr>
          <w:rFonts w:asciiTheme="minorHAnsi" w:hAnsiTheme="minorHAnsi" w:cstheme="minorHAnsi"/>
          <w:color w:val="auto"/>
          <w:szCs w:val="21"/>
        </w:rPr>
        <w:t>includes education prov</w:t>
      </w:r>
      <w:r w:rsidR="00686773" w:rsidRPr="00677889">
        <w:rPr>
          <w:rFonts w:asciiTheme="minorHAnsi" w:hAnsiTheme="minorHAnsi" w:cstheme="minorHAnsi"/>
          <w:color w:val="auto"/>
          <w:szCs w:val="21"/>
        </w:rPr>
        <w:t>ider, higher education provider and</w:t>
      </w:r>
      <w:r w:rsidRPr="00677889">
        <w:rPr>
          <w:rFonts w:asciiTheme="minorHAnsi" w:hAnsiTheme="minorHAnsi" w:cstheme="minorHAnsi"/>
          <w:color w:val="auto"/>
          <w:szCs w:val="21"/>
        </w:rPr>
        <w:t xml:space="preserve"> program provider.</w:t>
      </w:r>
    </w:p>
    <w:p w14:paraId="31E93F08" w14:textId="77777777" w:rsidR="006702C1" w:rsidRPr="00677889" w:rsidRDefault="00330A6B" w:rsidP="006702C1">
      <w:pPr>
        <w:keepLines w:val="0"/>
        <w:widowControl/>
        <w:spacing w:before="120" w:after="120"/>
        <w:rPr>
          <w:rFonts w:asciiTheme="minorHAnsi" w:hAnsiTheme="minorHAnsi" w:cstheme="minorHAnsi"/>
          <w:color w:val="auto"/>
          <w:szCs w:val="21"/>
        </w:rPr>
      </w:pPr>
      <w:r w:rsidRPr="00677889">
        <w:rPr>
          <w:rFonts w:asciiTheme="minorHAnsi" w:hAnsiTheme="minorHAnsi" w:cstheme="minorHAnsi"/>
          <w:b/>
          <w:color w:val="auto"/>
          <w:szCs w:val="21"/>
          <w:lang w:val="en-US"/>
        </w:rPr>
        <w:t>Red flags</w:t>
      </w:r>
      <w:r w:rsidR="006702C1" w:rsidRPr="00677889">
        <w:rPr>
          <w:rFonts w:asciiTheme="minorHAnsi" w:hAnsiTheme="minorHAnsi" w:cstheme="minorHAnsi"/>
          <w:color w:val="auto"/>
          <w:szCs w:val="21"/>
        </w:rPr>
        <w:t>—</w:t>
      </w:r>
      <w:r w:rsidR="006702C1" w:rsidRPr="00677889">
        <w:rPr>
          <w:rFonts w:asciiTheme="minorHAnsi" w:hAnsiTheme="minorHAnsi" w:cstheme="minorHAnsi"/>
          <w:color w:val="auto"/>
          <w:szCs w:val="21"/>
          <w:lang w:val="en-US"/>
        </w:rPr>
        <w:t xml:space="preserve">are findings which indicate a </w:t>
      </w:r>
      <w:r w:rsidR="008C176B" w:rsidRPr="00677889">
        <w:rPr>
          <w:rFonts w:asciiTheme="minorHAnsi" w:hAnsiTheme="minorHAnsi" w:cstheme="minorHAnsi"/>
          <w:color w:val="auto"/>
          <w:szCs w:val="21"/>
          <w:lang w:val="en-US"/>
        </w:rPr>
        <w:t xml:space="preserve">potentially </w:t>
      </w:r>
      <w:r w:rsidR="006702C1" w:rsidRPr="00677889">
        <w:rPr>
          <w:rFonts w:asciiTheme="minorHAnsi" w:hAnsiTheme="minorHAnsi" w:cstheme="minorHAnsi"/>
          <w:color w:val="auto"/>
          <w:szCs w:val="21"/>
          <w:lang w:val="en-US"/>
        </w:rPr>
        <w:t xml:space="preserve">more </w:t>
      </w:r>
      <w:r w:rsidR="008C176B" w:rsidRPr="00677889">
        <w:rPr>
          <w:rFonts w:asciiTheme="minorHAnsi" w:hAnsiTheme="minorHAnsi" w:cstheme="minorHAnsi"/>
          <w:color w:val="auto"/>
          <w:szCs w:val="21"/>
          <w:lang w:val="en-US"/>
        </w:rPr>
        <w:t>serious condition</w:t>
      </w:r>
      <w:r w:rsidR="006702C1" w:rsidRPr="00677889">
        <w:rPr>
          <w:rFonts w:asciiTheme="minorHAnsi" w:hAnsiTheme="minorHAnsi" w:cstheme="minorHAnsi"/>
          <w:color w:val="auto"/>
          <w:szCs w:val="21"/>
          <w:lang w:val="en-US"/>
        </w:rPr>
        <w:t xml:space="preserve"> that should attract a clinician’s attention as a matter of priority.</w:t>
      </w:r>
    </w:p>
    <w:p w14:paraId="5C23F18B" w14:textId="77777777" w:rsidR="006702C1" w:rsidRPr="00677889" w:rsidRDefault="006702C1" w:rsidP="006702C1">
      <w:pPr>
        <w:keepLines w:val="0"/>
        <w:widowControl/>
        <w:spacing w:before="120" w:after="120"/>
        <w:rPr>
          <w:rFonts w:asciiTheme="minorHAnsi" w:hAnsiTheme="minorHAnsi" w:cstheme="minorHAnsi"/>
          <w:color w:val="auto"/>
          <w:szCs w:val="21"/>
        </w:rPr>
      </w:pPr>
      <w:r w:rsidRPr="00677889">
        <w:rPr>
          <w:rFonts w:asciiTheme="minorHAnsi" w:hAnsiTheme="minorHAnsi" w:cstheme="minorHAnsi"/>
          <w:b/>
          <w:color w:val="auto"/>
          <w:szCs w:val="21"/>
        </w:rPr>
        <w:lastRenderedPageBreak/>
        <w:t>Research</w:t>
      </w:r>
      <w:r w:rsidRPr="00677889">
        <w:rPr>
          <w:rFonts w:asciiTheme="minorHAnsi" w:hAnsiTheme="minorHAnsi" w:cstheme="minorHAnsi"/>
          <w:color w:val="auto"/>
          <w:szCs w:val="21"/>
        </w:rPr>
        <w:t>—comprises:</w:t>
      </w:r>
    </w:p>
    <w:p w14:paraId="69F640F4" w14:textId="77777777" w:rsidR="006702C1" w:rsidRPr="00677889" w:rsidRDefault="006702C1" w:rsidP="002A11E0">
      <w:pPr>
        <w:keepLines w:val="0"/>
        <w:widowControl/>
        <w:numPr>
          <w:ilvl w:val="0"/>
          <w:numId w:val="14"/>
        </w:numPr>
        <w:spacing w:before="120" w:after="120"/>
        <w:ind w:left="426" w:hanging="426"/>
        <w:rPr>
          <w:rFonts w:asciiTheme="minorHAnsi" w:hAnsiTheme="minorHAnsi" w:cstheme="minorHAnsi"/>
          <w:color w:val="auto"/>
          <w:szCs w:val="21"/>
        </w:rPr>
      </w:pPr>
      <w:r w:rsidRPr="00677889">
        <w:rPr>
          <w:rFonts w:asciiTheme="minorHAnsi" w:hAnsiTheme="minorHAnsi" w:cstheme="minorHAnsi"/>
          <w:color w:val="auto"/>
          <w:szCs w:val="21"/>
        </w:rPr>
        <w:t>Creative work undertaken on a systematic basis in order to increase the stock of knowledge, including knowledge of man, culture and society, and the use of this stock of knowledge to devise new applications.</w:t>
      </w:r>
    </w:p>
    <w:p w14:paraId="2726BA37" w14:textId="77777777" w:rsidR="006702C1" w:rsidRPr="00677889" w:rsidRDefault="006702C1" w:rsidP="002A11E0">
      <w:pPr>
        <w:keepLines w:val="0"/>
        <w:widowControl/>
        <w:numPr>
          <w:ilvl w:val="0"/>
          <w:numId w:val="14"/>
        </w:numPr>
        <w:spacing w:before="120" w:after="120"/>
        <w:ind w:left="426" w:hanging="426"/>
        <w:rPr>
          <w:rFonts w:asciiTheme="minorHAnsi" w:hAnsiTheme="minorHAnsi" w:cstheme="minorHAnsi"/>
          <w:color w:val="auto"/>
          <w:szCs w:val="21"/>
        </w:rPr>
      </w:pPr>
      <w:r w:rsidRPr="00677889">
        <w:rPr>
          <w:rFonts w:asciiTheme="minorHAnsi" w:hAnsiTheme="minorHAnsi" w:cstheme="minorHAnsi"/>
          <w:color w:val="auto"/>
          <w:szCs w:val="21"/>
        </w:rPr>
        <w:t>Any activity classified as research which is characterised by originality; it should have investigation as a primary objective and should have the potential to produce results that are sufficiently general for humanity’s stock of knowledge (theoretical and/or practical) to be recognisably increased. Most higher education research work would qualify as research.</w:t>
      </w:r>
    </w:p>
    <w:p w14:paraId="13C2A733" w14:textId="77777777" w:rsidR="006702C1" w:rsidRPr="00677889" w:rsidRDefault="006702C1" w:rsidP="002A11E0">
      <w:pPr>
        <w:keepLines w:val="0"/>
        <w:widowControl/>
        <w:numPr>
          <w:ilvl w:val="0"/>
          <w:numId w:val="14"/>
        </w:numPr>
        <w:spacing w:before="120" w:after="120"/>
        <w:ind w:left="426" w:hanging="426"/>
        <w:rPr>
          <w:rFonts w:asciiTheme="minorHAnsi" w:hAnsiTheme="minorHAnsi" w:cstheme="minorHAnsi"/>
          <w:color w:val="auto"/>
          <w:szCs w:val="21"/>
        </w:rPr>
      </w:pPr>
      <w:r w:rsidRPr="00677889">
        <w:rPr>
          <w:rFonts w:asciiTheme="minorHAnsi" w:hAnsiTheme="minorHAnsi" w:cstheme="minorHAnsi"/>
          <w:color w:val="auto"/>
          <w:szCs w:val="21"/>
        </w:rPr>
        <w:t>Pure basic research, strategic basic research, applied research and experimental development</w:t>
      </w:r>
      <w:r w:rsidRPr="00677889">
        <w:rPr>
          <w:rFonts w:asciiTheme="minorHAnsi" w:hAnsiTheme="minorHAnsi" w:cstheme="minorHAnsi"/>
          <w:color w:val="auto"/>
          <w:szCs w:val="21"/>
          <w:vertAlign w:val="superscript"/>
        </w:rPr>
        <w:t>.</w:t>
      </w:r>
      <w:r w:rsidRPr="00677889">
        <w:rPr>
          <w:rFonts w:asciiTheme="minorHAnsi" w:hAnsiTheme="minorHAnsi" w:cstheme="minorHAnsi"/>
          <w:color w:val="auto"/>
          <w:szCs w:val="21"/>
          <w:vertAlign w:val="superscript"/>
        </w:rPr>
        <w:footnoteReference w:id="18"/>
      </w:r>
    </w:p>
    <w:p w14:paraId="2D95137D" w14:textId="77777777" w:rsidR="006702C1" w:rsidRPr="00677889" w:rsidRDefault="006702C1" w:rsidP="006702C1">
      <w:pPr>
        <w:keepLines w:val="0"/>
        <w:widowControl/>
        <w:spacing w:before="120" w:after="120"/>
        <w:rPr>
          <w:rFonts w:asciiTheme="minorHAnsi" w:hAnsiTheme="minorHAnsi" w:cstheme="minorHAnsi"/>
          <w:color w:val="auto"/>
          <w:szCs w:val="21"/>
        </w:rPr>
      </w:pPr>
      <w:r w:rsidRPr="00677889">
        <w:rPr>
          <w:rFonts w:asciiTheme="minorHAnsi" w:hAnsiTheme="minorHAnsi" w:cstheme="minorHAnsi"/>
          <w:b/>
          <w:color w:val="auto"/>
          <w:szCs w:val="21"/>
        </w:rPr>
        <w:t>Scholarship</w:t>
      </w:r>
      <w:r w:rsidRPr="00677889">
        <w:rPr>
          <w:rFonts w:asciiTheme="minorHAnsi" w:hAnsiTheme="minorHAnsi" w:cstheme="minorHAnsi"/>
          <w:color w:val="auto"/>
          <w:szCs w:val="21"/>
        </w:rPr>
        <w:t xml:space="preserve">—application of systematic approaches to acquiring knowledge through intellectual inquiry. Includes disseminating this knowledge through various means such as publications, presentations (verbal and audio-visual), professional practice and the application of this new knowledge to the enrichment of the life of society. </w:t>
      </w:r>
    </w:p>
    <w:p w14:paraId="4B197295" w14:textId="77777777" w:rsidR="006702C1" w:rsidRPr="00677889" w:rsidRDefault="006702C1" w:rsidP="006702C1">
      <w:pPr>
        <w:keepLines w:val="0"/>
        <w:widowControl/>
        <w:spacing w:before="120" w:after="120"/>
        <w:rPr>
          <w:rFonts w:asciiTheme="minorHAnsi" w:hAnsiTheme="minorHAnsi" w:cstheme="minorHAnsi"/>
          <w:color w:val="auto"/>
          <w:szCs w:val="21"/>
        </w:rPr>
      </w:pPr>
      <w:r w:rsidRPr="00677889">
        <w:rPr>
          <w:rFonts w:asciiTheme="minorHAnsi" w:hAnsiTheme="minorHAnsi" w:cstheme="minorHAnsi"/>
          <w:b/>
          <w:color w:val="auto"/>
          <w:szCs w:val="21"/>
        </w:rPr>
        <w:t>School</w:t>
      </w:r>
      <w:r w:rsidRPr="00677889">
        <w:rPr>
          <w:rFonts w:asciiTheme="minorHAnsi" w:hAnsiTheme="minorHAnsi" w:cstheme="minorHAnsi"/>
          <w:color w:val="auto"/>
          <w:szCs w:val="21"/>
        </w:rPr>
        <w:t>—organisational entity of an education provider responsible for the design and delivery of a program of study in chiropractic. Where the school of chiropractic is part of a larger faculty, the school is regarded as the program provider for the purposes of these standards. This may be the school, department or faculty of an education provider responsible for the design and delivery of a program of study in chiropractic leading to the award of a Bachelor Degree in chiropractic as a minimum. However, it is the education provider who has control of what qualification can be awarded, and has to sign off on matters including the structure, assessment methods used etc (through an academic board or council, teaching and learning specialists and/or other mechanisms).</w:t>
      </w:r>
    </w:p>
    <w:p w14:paraId="2A4DA59B" w14:textId="77777777" w:rsidR="006702C1" w:rsidRPr="00677889" w:rsidRDefault="006702C1" w:rsidP="006702C1">
      <w:pPr>
        <w:keepLines w:val="0"/>
        <w:widowControl/>
        <w:spacing w:before="120" w:after="120"/>
        <w:rPr>
          <w:rFonts w:asciiTheme="minorHAnsi" w:hAnsiTheme="minorHAnsi" w:cstheme="minorHAnsi"/>
          <w:color w:val="auto"/>
          <w:szCs w:val="21"/>
        </w:rPr>
      </w:pPr>
      <w:r w:rsidRPr="00677889">
        <w:rPr>
          <w:rFonts w:asciiTheme="minorHAnsi" w:hAnsiTheme="minorHAnsi" w:cstheme="minorHAnsi"/>
          <w:b/>
          <w:color w:val="auto"/>
          <w:szCs w:val="21"/>
        </w:rPr>
        <w:t>Student assessment</w:t>
      </w:r>
      <w:r w:rsidRPr="00677889">
        <w:rPr>
          <w:rFonts w:asciiTheme="minorHAnsi" w:hAnsiTheme="minorHAnsi" w:cstheme="minorHAnsi"/>
          <w:color w:val="auto"/>
          <w:szCs w:val="21"/>
        </w:rPr>
        <w:t>—formative and summative processes used to determine a student’s achievement of expected learning outcomes. May include written and oral methods and practice or demonstration.</w:t>
      </w:r>
    </w:p>
    <w:p w14:paraId="7FD6FF3A" w14:textId="77777777" w:rsidR="006702C1" w:rsidRPr="00677889" w:rsidRDefault="006702C1" w:rsidP="006702C1">
      <w:pPr>
        <w:keepLines w:val="0"/>
        <w:widowControl/>
        <w:spacing w:before="120" w:after="120"/>
        <w:rPr>
          <w:rFonts w:asciiTheme="minorHAnsi" w:hAnsiTheme="minorHAnsi" w:cstheme="minorHAnsi"/>
          <w:color w:val="auto"/>
          <w:szCs w:val="21"/>
        </w:rPr>
      </w:pPr>
      <w:r w:rsidRPr="00677889">
        <w:rPr>
          <w:rFonts w:asciiTheme="minorHAnsi" w:hAnsiTheme="minorHAnsi" w:cstheme="minorHAnsi"/>
          <w:b/>
          <w:color w:val="auto"/>
          <w:szCs w:val="21"/>
        </w:rPr>
        <w:t>Tertiary Education Quality and Standards Agency</w:t>
      </w:r>
      <w:r w:rsidRPr="00677889">
        <w:rPr>
          <w:rFonts w:asciiTheme="minorHAnsi" w:hAnsiTheme="minorHAnsi" w:cstheme="minorHAnsi"/>
          <w:color w:val="auto"/>
          <w:szCs w:val="21"/>
        </w:rPr>
        <w:t>—(TEQSA) regulates and assures the quality of Australia’s large, diverse and complex higher education sector. Its function is to register and evaluate the performance of higher education providers against the Higher Education Standards Framework and to undertake compliance and quality assessments.</w:t>
      </w:r>
    </w:p>
    <w:p w14:paraId="760A3EB1" w14:textId="77777777" w:rsidR="004C1838" w:rsidRPr="00677889" w:rsidRDefault="006702C1" w:rsidP="006702C1">
      <w:pPr>
        <w:keepLines w:val="0"/>
        <w:widowControl/>
        <w:spacing w:before="120" w:after="120"/>
        <w:rPr>
          <w:rFonts w:asciiTheme="minorHAnsi" w:hAnsiTheme="minorHAnsi" w:cstheme="minorHAnsi"/>
          <w:color w:val="auto"/>
          <w:szCs w:val="21"/>
        </w:rPr>
      </w:pPr>
      <w:r w:rsidRPr="00677889">
        <w:rPr>
          <w:rFonts w:asciiTheme="minorHAnsi" w:hAnsiTheme="minorHAnsi" w:cstheme="minorHAnsi"/>
          <w:b/>
          <w:color w:val="auto"/>
          <w:szCs w:val="21"/>
        </w:rPr>
        <w:t>Trans-Tasman Mutual Recognition Arrangement</w:t>
      </w:r>
      <w:r w:rsidRPr="00677889">
        <w:rPr>
          <w:rFonts w:asciiTheme="minorHAnsi" w:hAnsiTheme="minorHAnsi" w:cstheme="minorHAnsi"/>
          <w:color w:val="auto"/>
          <w:szCs w:val="21"/>
        </w:rPr>
        <w:t xml:space="preserve">—The Trans-Tasman Mutual Recognition Agreement, under the </w:t>
      </w:r>
      <w:r w:rsidRPr="00677889">
        <w:rPr>
          <w:rFonts w:asciiTheme="minorHAnsi" w:hAnsiTheme="minorHAnsi" w:cstheme="minorHAnsi"/>
          <w:i/>
          <w:color w:val="auto"/>
          <w:szCs w:val="21"/>
        </w:rPr>
        <w:t>Trans-Tasman Mutual Recognition Act 1997</w:t>
      </w:r>
      <w:r w:rsidRPr="00677889">
        <w:rPr>
          <w:rFonts w:asciiTheme="minorHAnsi" w:hAnsiTheme="minorHAnsi" w:cstheme="minorHAnsi"/>
          <w:color w:val="auto"/>
          <w:szCs w:val="21"/>
        </w:rPr>
        <w:t>, provides that ‘a person registered to practise an occupation in Australia is entitled to practise an equivalent occupation in New Zealand, and vice versa, without the need for further testing or examination’.</w:t>
      </w:r>
    </w:p>
    <w:p w14:paraId="0213F86D" w14:textId="77777777" w:rsidR="004C1838" w:rsidRPr="00677889" w:rsidRDefault="004C1838">
      <w:pPr>
        <w:keepLines w:val="0"/>
        <w:widowControl/>
        <w:spacing w:after="200"/>
        <w:rPr>
          <w:rFonts w:asciiTheme="minorHAnsi" w:hAnsiTheme="minorHAnsi" w:cstheme="minorHAnsi"/>
          <w:color w:val="auto"/>
          <w:szCs w:val="21"/>
        </w:rPr>
      </w:pPr>
      <w:r w:rsidRPr="00677889">
        <w:rPr>
          <w:rFonts w:asciiTheme="minorHAnsi" w:hAnsiTheme="minorHAnsi" w:cstheme="minorHAnsi"/>
          <w:color w:val="auto"/>
          <w:szCs w:val="21"/>
        </w:rPr>
        <w:br w:type="page"/>
      </w:r>
    </w:p>
    <w:p w14:paraId="532E2545" w14:textId="77777777" w:rsidR="004C1838" w:rsidRPr="00677889" w:rsidRDefault="000A16A8" w:rsidP="004C1838">
      <w:pPr>
        <w:pStyle w:val="Heading1"/>
      </w:pPr>
      <w:bookmarkStart w:id="130" w:name="_Toc446242295"/>
      <w:r w:rsidRPr="00677889">
        <w:lastRenderedPageBreak/>
        <w:t xml:space="preserve">APPENDIX 3 - </w:t>
      </w:r>
      <w:r w:rsidR="004C1838" w:rsidRPr="00677889">
        <w:t>REFERENCES</w:t>
      </w:r>
      <w:bookmarkEnd w:id="130"/>
    </w:p>
    <w:p w14:paraId="2C58A056" w14:textId="77777777" w:rsidR="004C1838" w:rsidRPr="00677889" w:rsidRDefault="004C1838" w:rsidP="004C1838">
      <w:pPr>
        <w:ind w:left="567" w:hanging="567"/>
        <w:rPr>
          <w:rFonts w:asciiTheme="minorHAnsi" w:hAnsiTheme="minorHAnsi" w:cstheme="minorHAnsi"/>
          <w:szCs w:val="21"/>
        </w:rPr>
      </w:pPr>
      <w:r w:rsidRPr="00677889">
        <w:rPr>
          <w:rFonts w:asciiTheme="minorHAnsi" w:hAnsiTheme="minorHAnsi" w:cstheme="minorHAnsi"/>
          <w:szCs w:val="21"/>
        </w:rPr>
        <w:t xml:space="preserve">Adams J, Steel A, Chang S and Sibbritt D (2015) ‘Helping address the national research and research capacity needs of Australian chiropractic: introducing the Australian Chiropractic Research Network (ACORN) project’ 23(11) </w:t>
      </w:r>
      <w:r w:rsidRPr="00677889">
        <w:rPr>
          <w:rFonts w:asciiTheme="minorHAnsi" w:hAnsiTheme="minorHAnsi" w:cstheme="minorHAnsi"/>
          <w:i/>
          <w:szCs w:val="21"/>
        </w:rPr>
        <w:t>Chiropractic and Manual Therapies</w:t>
      </w:r>
      <w:r w:rsidRPr="00677889">
        <w:rPr>
          <w:rFonts w:asciiTheme="minorHAnsi" w:hAnsiTheme="minorHAnsi" w:cstheme="minorHAnsi"/>
          <w:szCs w:val="21"/>
        </w:rPr>
        <w:t>. DOI 10.1186/s12998-015-0057-8.</w:t>
      </w:r>
    </w:p>
    <w:p w14:paraId="5F0BCCAC" w14:textId="77777777" w:rsidR="004C1838" w:rsidRPr="00677889" w:rsidRDefault="004C1838" w:rsidP="004C1838">
      <w:pPr>
        <w:ind w:left="567" w:hanging="567"/>
        <w:rPr>
          <w:rFonts w:asciiTheme="minorHAnsi" w:hAnsiTheme="minorHAnsi" w:cstheme="minorHAnsi"/>
          <w:szCs w:val="21"/>
        </w:rPr>
      </w:pPr>
      <w:r w:rsidRPr="00677889">
        <w:rPr>
          <w:rFonts w:asciiTheme="minorHAnsi" w:hAnsiTheme="minorHAnsi" w:cstheme="minorHAnsi"/>
          <w:szCs w:val="21"/>
        </w:rPr>
        <w:t xml:space="preserve">Australian Council on Health Care Standards (2015) </w:t>
      </w:r>
      <w:r w:rsidRPr="00677889">
        <w:rPr>
          <w:rFonts w:asciiTheme="minorHAnsi" w:hAnsiTheme="minorHAnsi" w:cstheme="minorHAnsi"/>
          <w:i/>
          <w:szCs w:val="21"/>
        </w:rPr>
        <w:t xml:space="preserve">What is Accreditation? </w:t>
      </w:r>
      <w:r w:rsidRPr="00677889">
        <w:rPr>
          <w:rFonts w:asciiTheme="minorHAnsi" w:hAnsiTheme="minorHAnsi" w:cstheme="minorHAnsi"/>
          <w:szCs w:val="21"/>
        </w:rPr>
        <w:t xml:space="preserve">Retrieved from: </w:t>
      </w:r>
      <w:hyperlink r:id="rId39" w:history="1">
        <w:r w:rsidRPr="00677889">
          <w:rPr>
            <w:rStyle w:val="Hyperlink"/>
            <w:rFonts w:asciiTheme="minorHAnsi" w:hAnsiTheme="minorHAnsi" w:cstheme="minorHAnsi"/>
            <w:i w:val="0"/>
            <w:sz w:val="21"/>
            <w:szCs w:val="21"/>
          </w:rPr>
          <w:t>http://www.achs.org.au/about-us/what-we-do/what-is-accreditation/</w:t>
        </w:r>
      </w:hyperlink>
      <w:r w:rsidRPr="00677889">
        <w:rPr>
          <w:rFonts w:asciiTheme="minorHAnsi" w:hAnsiTheme="minorHAnsi" w:cstheme="minorHAnsi"/>
          <w:szCs w:val="21"/>
        </w:rPr>
        <w:t>. Accessed on: 26 April 2015.</w:t>
      </w:r>
    </w:p>
    <w:p w14:paraId="62B7BC9F" w14:textId="77777777" w:rsidR="004C1838" w:rsidRPr="00677889" w:rsidRDefault="004C1838" w:rsidP="004C1838">
      <w:pPr>
        <w:ind w:left="567" w:hanging="567"/>
        <w:rPr>
          <w:rFonts w:asciiTheme="minorHAnsi" w:hAnsiTheme="minorHAnsi" w:cstheme="minorHAnsi"/>
          <w:szCs w:val="21"/>
        </w:rPr>
      </w:pPr>
      <w:r w:rsidRPr="00677889">
        <w:rPr>
          <w:rFonts w:asciiTheme="minorHAnsi" w:hAnsiTheme="minorHAnsi" w:cstheme="minorHAnsi"/>
          <w:szCs w:val="21"/>
        </w:rPr>
        <w:t xml:space="preserve">Australian Dental Council (2014) </w:t>
      </w:r>
      <w:r w:rsidRPr="00677889">
        <w:rPr>
          <w:rFonts w:asciiTheme="minorHAnsi" w:hAnsiTheme="minorHAnsi" w:cstheme="minorHAnsi"/>
          <w:i/>
          <w:szCs w:val="21"/>
        </w:rPr>
        <w:t>Australian Dental Council Accreditation Standards for Dental Practitioner Programs: ADC Consultation Paper</w:t>
      </w:r>
      <w:r w:rsidRPr="00677889">
        <w:rPr>
          <w:rFonts w:asciiTheme="minorHAnsi" w:hAnsiTheme="minorHAnsi" w:cstheme="minorHAnsi"/>
          <w:szCs w:val="21"/>
        </w:rPr>
        <w:t xml:space="preserve">, September. Retrieved from: </w:t>
      </w:r>
      <w:hyperlink r:id="rId40" w:history="1">
        <w:r w:rsidRPr="00677889">
          <w:rPr>
            <w:rStyle w:val="Hyperlink"/>
            <w:rFonts w:asciiTheme="minorHAnsi" w:hAnsiTheme="minorHAnsi" w:cstheme="minorHAnsi"/>
            <w:i w:val="0"/>
            <w:sz w:val="21"/>
            <w:szCs w:val="21"/>
          </w:rPr>
          <w:t>http://www.adc.org.au/documents/ADC%20Consultation%20paper%20Sept%202014%20.pdf</w:t>
        </w:r>
      </w:hyperlink>
      <w:r w:rsidRPr="00677889">
        <w:rPr>
          <w:rFonts w:asciiTheme="minorHAnsi" w:hAnsiTheme="minorHAnsi" w:cstheme="minorHAnsi"/>
          <w:szCs w:val="21"/>
        </w:rPr>
        <w:t>. Accessed: 12 January 2015.</w:t>
      </w:r>
    </w:p>
    <w:p w14:paraId="3DCC0D4F" w14:textId="77777777" w:rsidR="004C1838" w:rsidRPr="00677889" w:rsidRDefault="004C1838" w:rsidP="004C1838">
      <w:pPr>
        <w:ind w:left="567" w:hanging="567"/>
        <w:rPr>
          <w:rFonts w:asciiTheme="minorHAnsi" w:hAnsiTheme="minorHAnsi" w:cstheme="minorHAnsi"/>
          <w:szCs w:val="21"/>
        </w:rPr>
      </w:pPr>
      <w:r w:rsidRPr="00677889">
        <w:rPr>
          <w:rFonts w:asciiTheme="minorHAnsi" w:hAnsiTheme="minorHAnsi" w:cstheme="minorHAnsi"/>
          <w:szCs w:val="21"/>
        </w:rPr>
        <w:t xml:space="preserve">Australian Dental Council and Dental Council (New Zealand) (2013) </w:t>
      </w:r>
      <w:r w:rsidRPr="00677889">
        <w:rPr>
          <w:rFonts w:asciiTheme="minorHAnsi" w:hAnsiTheme="minorHAnsi" w:cstheme="minorHAnsi"/>
          <w:i/>
          <w:szCs w:val="21"/>
        </w:rPr>
        <w:t>Accreditation Standards for Dental Practitioner Programs: Review Discussion Paper</w:t>
      </w:r>
      <w:r w:rsidRPr="00677889">
        <w:rPr>
          <w:rFonts w:asciiTheme="minorHAnsi" w:hAnsiTheme="minorHAnsi" w:cstheme="minorHAnsi"/>
          <w:szCs w:val="21"/>
        </w:rPr>
        <w:t>, December.</w:t>
      </w:r>
    </w:p>
    <w:p w14:paraId="5827589A" w14:textId="77777777" w:rsidR="004C1838" w:rsidRPr="00677889" w:rsidRDefault="004C1838" w:rsidP="004C1838">
      <w:pPr>
        <w:ind w:left="567" w:hanging="567"/>
        <w:rPr>
          <w:rFonts w:asciiTheme="minorHAnsi" w:hAnsiTheme="minorHAnsi" w:cstheme="minorHAnsi"/>
          <w:szCs w:val="21"/>
        </w:rPr>
      </w:pPr>
      <w:r w:rsidRPr="00677889">
        <w:rPr>
          <w:rFonts w:asciiTheme="minorHAnsi" w:hAnsiTheme="minorHAnsi" w:cstheme="minorHAnsi"/>
          <w:szCs w:val="21"/>
        </w:rPr>
        <w:t xml:space="preserve">Australian Government (2008) </w:t>
      </w:r>
      <w:r w:rsidRPr="00677889">
        <w:rPr>
          <w:rFonts w:asciiTheme="minorHAnsi" w:hAnsiTheme="minorHAnsi" w:cstheme="minorHAnsi"/>
          <w:i/>
          <w:szCs w:val="21"/>
        </w:rPr>
        <w:t>Review of Australian Higher Education – Final Report</w:t>
      </w:r>
      <w:r w:rsidRPr="00677889">
        <w:rPr>
          <w:rFonts w:asciiTheme="minorHAnsi" w:hAnsiTheme="minorHAnsi" w:cstheme="minorHAnsi"/>
          <w:szCs w:val="21"/>
        </w:rPr>
        <w:t xml:space="preserve">. Retrieved from: </w:t>
      </w:r>
      <w:hyperlink r:id="rId41" w:history="1">
        <w:r w:rsidRPr="00677889">
          <w:rPr>
            <w:rStyle w:val="Hyperlink"/>
            <w:rFonts w:asciiTheme="minorHAnsi" w:hAnsiTheme="minorHAnsi" w:cstheme="minorHAnsi"/>
            <w:i w:val="0"/>
            <w:sz w:val="21"/>
            <w:szCs w:val="21"/>
          </w:rPr>
          <w:t>http://www.mq.edu.au/pubstatic/public/download.jsp?id=111997</w:t>
        </w:r>
      </w:hyperlink>
      <w:r w:rsidRPr="00677889">
        <w:rPr>
          <w:rFonts w:asciiTheme="minorHAnsi" w:hAnsiTheme="minorHAnsi" w:cstheme="minorHAnsi"/>
          <w:szCs w:val="21"/>
        </w:rPr>
        <w:t>. Accessed: 12 April 2015.</w:t>
      </w:r>
    </w:p>
    <w:p w14:paraId="787F0207" w14:textId="77777777" w:rsidR="004C1838" w:rsidRPr="00677889" w:rsidRDefault="004C1838" w:rsidP="004C1838">
      <w:pPr>
        <w:ind w:left="567" w:hanging="567"/>
        <w:rPr>
          <w:rFonts w:asciiTheme="minorHAnsi" w:hAnsiTheme="minorHAnsi" w:cstheme="minorHAnsi"/>
          <w:szCs w:val="21"/>
        </w:rPr>
      </w:pPr>
      <w:r w:rsidRPr="00677889">
        <w:rPr>
          <w:rFonts w:asciiTheme="minorHAnsi" w:hAnsiTheme="minorHAnsi" w:cstheme="minorHAnsi"/>
          <w:szCs w:val="21"/>
        </w:rPr>
        <w:t xml:space="preserve">Australian Government (2009) </w:t>
      </w:r>
      <w:r w:rsidRPr="00677889">
        <w:rPr>
          <w:rFonts w:asciiTheme="minorHAnsi" w:hAnsiTheme="minorHAnsi" w:cstheme="minorHAnsi"/>
          <w:i/>
          <w:szCs w:val="21"/>
        </w:rPr>
        <w:t>Transforming Australia’s Higher Education System</w:t>
      </w:r>
      <w:r w:rsidRPr="00677889">
        <w:rPr>
          <w:rFonts w:asciiTheme="minorHAnsi" w:hAnsiTheme="minorHAnsi" w:cstheme="minorHAnsi"/>
          <w:szCs w:val="21"/>
        </w:rPr>
        <w:t xml:space="preserve">. Viewed at </w:t>
      </w:r>
      <w:hyperlink r:id="rId42" w:history="1">
        <w:r w:rsidRPr="00677889">
          <w:rPr>
            <w:rStyle w:val="Hyperlink"/>
            <w:rFonts w:asciiTheme="minorHAnsi" w:hAnsiTheme="minorHAnsi" w:cstheme="minorHAnsi"/>
            <w:i w:val="0"/>
            <w:sz w:val="21"/>
            <w:szCs w:val="21"/>
          </w:rPr>
          <w:t>http://www.deewr.gov.au/HigherEducation/Documents/TransformingAusHigherED.pdf</w:t>
        </w:r>
      </w:hyperlink>
      <w:r w:rsidRPr="00677889">
        <w:rPr>
          <w:rFonts w:asciiTheme="minorHAnsi" w:hAnsiTheme="minorHAnsi" w:cstheme="minorHAnsi"/>
          <w:szCs w:val="21"/>
        </w:rPr>
        <w:t>. Accessed: 12 April 2015.</w:t>
      </w:r>
    </w:p>
    <w:p w14:paraId="3B7DD0F0" w14:textId="77777777" w:rsidR="004C1838" w:rsidRPr="00677889" w:rsidRDefault="004C1838" w:rsidP="004C1838">
      <w:pPr>
        <w:ind w:left="567" w:hanging="567"/>
        <w:rPr>
          <w:rFonts w:asciiTheme="minorHAnsi" w:hAnsiTheme="minorHAnsi" w:cstheme="minorHAnsi"/>
          <w:szCs w:val="21"/>
        </w:rPr>
      </w:pPr>
      <w:r w:rsidRPr="00677889">
        <w:rPr>
          <w:rFonts w:asciiTheme="minorHAnsi" w:hAnsiTheme="minorHAnsi" w:cstheme="minorHAnsi"/>
          <w:szCs w:val="21"/>
        </w:rPr>
        <w:t xml:space="preserve">Australian Health Practitioner Regulation Agency (2014) </w:t>
      </w:r>
      <w:r w:rsidRPr="00677889">
        <w:rPr>
          <w:rFonts w:asciiTheme="minorHAnsi" w:hAnsiTheme="minorHAnsi" w:cstheme="minorHAnsi"/>
          <w:i/>
          <w:szCs w:val="21"/>
        </w:rPr>
        <w:t>Procedures for the development of accreditation standards</w:t>
      </w:r>
      <w:r w:rsidRPr="00677889">
        <w:rPr>
          <w:rFonts w:asciiTheme="minorHAnsi" w:hAnsiTheme="minorHAnsi" w:cstheme="minorHAnsi"/>
          <w:szCs w:val="21"/>
        </w:rPr>
        <w:t xml:space="preserve">. Retrieved from </w:t>
      </w:r>
      <w:hyperlink r:id="rId43" w:history="1">
        <w:r w:rsidRPr="00677889">
          <w:rPr>
            <w:rStyle w:val="Hyperlink"/>
            <w:rFonts w:asciiTheme="minorHAnsi" w:hAnsiTheme="minorHAnsi" w:cstheme="minorHAnsi"/>
            <w:i w:val="0"/>
            <w:sz w:val="21"/>
            <w:szCs w:val="21"/>
          </w:rPr>
          <w:t>http://www.ahpra.gov.au/Publications/Procedures.aspx</w:t>
        </w:r>
      </w:hyperlink>
      <w:r w:rsidRPr="00677889">
        <w:rPr>
          <w:rFonts w:asciiTheme="minorHAnsi" w:hAnsiTheme="minorHAnsi" w:cstheme="minorHAnsi"/>
          <w:szCs w:val="21"/>
        </w:rPr>
        <w:t>. Accessed on: 15 January 2015.</w:t>
      </w:r>
    </w:p>
    <w:p w14:paraId="64C54D8B" w14:textId="77777777" w:rsidR="005209F8" w:rsidRPr="00677889" w:rsidRDefault="005209F8" w:rsidP="004C1838">
      <w:pPr>
        <w:ind w:left="567" w:hanging="567"/>
        <w:rPr>
          <w:rFonts w:asciiTheme="minorHAnsi" w:hAnsiTheme="minorHAnsi" w:cstheme="minorHAnsi"/>
          <w:szCs w:val="21"/>
        </w:rPr>
      </w:pPr>
      <w:r w:rsidRPr="00677889">
        <w:rPr>
          <w:rFonts w:asciiTheme="minorHAnsi" w:hAnsiTheme="minorHAnsi" w:cstheme="minorHAnsi"/>
          <w:szCs w:val="21"/>
        </w:rPr>
        <w:t xml:space="preserve">Australian Medical Council Limited (2012) </w:t>
      </w:r>
      <w:r w:rsidRPr="00677889">
        <w:rPr>
          <w:rFonts w:asciiTheme="minorHAnsi" w:hAnsiTheme="minorHAnsi" w:cstheme="minorHAnsi"/>
          <w:i/>
          <w:szCs w:val="21"/>
        </w:rPr>
        <w:t>Standards for Assessment and Accreditation of Primary Medical Programs by the AMC 2012</w:t>
      </w:r>
      <w:r w:rsidRPr="00677889">
        <w:rPr>
          <w:rFonts w:asciiTheme="minorHAnsi" w:hAnsiTheme="minorHAnsi" w:cstheme="minorHAnsi"/>
          <w:szCs w:val="21"/>
        </w:rPr>
        <w:t xml:space="preserve">, December, Kingston, ACT. Retrieved on 12 February 2016 from: </w:t>
      </w:r>
      <w:hyperlink r:id="rId44" w:history="1">
        <w:r w:rsidRPr="00677889">
          <w:rPr>
            <w:rStyle w:val="Hyperlink"/>
            <w:rFonts w:asciiTheme="minorHAnsi" w:hAnsiTheme="minorHAnsi" w:cstheme="minorHAnsi"/>
            <w:sz w:val="21"/>
            <w:szCs w:val="21"/>
          </w:rPr>
          <w:t>http://www.amc.org.au/files/d0ffcecda9608cf49c66c93a79a4ad549638bea0_original.pdf</w:t>
        </w:r>
      </w:hyperlink>
      <w:r w:rsidRPr="00677889">
        <w:rPr>
          <w:rFonts w:asciiTheme="minorHAnsi" w:hAnsiTheme="minorHAnsi" w:cstheme="minorHAnsi"/>
          <w:szCs w:val="21"/>
        </w:rPr>
        <w:t xml:space="preserve">. </w:t>
      </w:r>
    </w:p>
    <w:p w14:paraId="003CBCD8" w14:textId="77777777" w:rsidR="004C1838" w:rsidRPr="00677889" w:rsidRDefault="004C1838" w:rsidP="004C1838">
      <w:pPr>
        <w:ind w:left="567" w:hanging="567"/>
        <w:rPr>
          <w:rFonts w:asciiTheme="minorHAnsi" w:hAnsiTheme="minorHAnsi" w:cstheme="minorHAnsi"/>
          <w:szCs w:val="21"/>
        </w:rPr>
      </w:pPr>
      <w:r w:rsidRPr="00677889">
        <w:rPr>
          <w:rFonts w:asciiTheme="minorHAnsi" w:hAnsiTheme="minorHAnsi" w:cstheme="minorHAnsi"/>
          <w:szCs w:val="21"/>
        </w:rPr>
        <w:t xml:space="preserve">Australian and New Zealand Podiatry Accreditation Council (2009) </w:t>
      </w:r>
      <w:r w:rsidRPr="00677889">
        <w:rPr>
          <w:rFonts w:asciiTheme="minorHAnsi" w:hAnsiTheme="minorHAnsi" w:cstheme="minorHAnsi"/>
          <w:i/>
          <w:szCs w:val="21"/>
        </w:rPr>
        <w:t>Accreditation standards for podiatry programs for Australia and New Zealand</w:t>
      </w:r>
      <w:r w:rsidRPr="00677889">
        <w:rPr>
          <w:rFonts w:asciiTheme="minorHAnsi" w:hAnsiTheme="minorHAnsi" w:cstheme="minorHAnsi"/>
          <w:szCs w:val="21"/>
        </w:rPr>
        <w:t xml:space="preserve">. Retrieved from: </w:t>
      </w:r>
      <w:hyperlink r:id="rId45" w:history="1">
        <w:r w:rsidRPr="00677889">
          <w:rPr>
            <w:rStyle w:val="Hyperlink"/>
            <w:rFonts w:asciiTheme="minorHAnsi" w:hAnsiTheme="minorHAnsi" w:cstheme="minorHAnsi"/>
            <w:i w:val="0"/>
            <w:sz w:val="21"/>
            <w:szCs w:val="21"/>
          </w:rPr>
          <w:t>http://www.anzpac.org.au/accreditation.html</w:t>
        </w:r>
      </w:hyperlink>
      <w:r w:rsidRPr="00677889">
        <w:rPr>
          <w:rFonts w:asciiTheme="minorHAnsi" w:hAnsiTheme="minorHAnsi" w:cstheme="minorHAnsi"/>
          <w:szCs w:val="21"/>
        </w:rPr>
        <w:t>. Accessed on: 25 February 2015.</w:t>
      </w:r>
    </w:p>
    <w:p w14:paraId="35255ACC" w14:textId="77777777" w:rsidR="004C1838" w:rsidRPr="00677889" w:rsidRDefault="004C1838" w:rsidP="004C1838">
      <w:pPr>
        <w:ind w:left="567" w:hanging="567"/>
        <w:rPr>
          <w:rFonts w:asciiTheme="minorHAnsi" w:hAnsiTheme="minorHAnsi" w:cstheme="minorHAnsi"/>
          <w:szCs w:val="21"/>
        </w:rPr>
      </w:pPr>
      <w:r w:rsidRPr="00677889">
        <w:rPr>
          <w:rFonts w:asciiTheme="minorHAnsi" w:hAnsiTheme="minorHAnsi" w:cstheme="minorHAnsi"/>
          <w:szCs w:val="21"/>
        </w:rPr>
        <w:t xml:space="preserve">Australian Nursing and Midwifery Accreditation Council (2015) </w:t>
      </w:r>
      <w:r w:rsidRPr="00677889">
        <w:rPr>
          <w:rFonts w:asciiTheme="minorHAnsi" w:hAnsiTheme="minorHAnsi" w:cstheme="minorHAnsi"/>
          <w:i/>
          <w:szCs w:val="21"/>
        </w:rPr>
        <w:t>National guidelines for the accreditation of nursing and midwifery programs leading to registration or endorsement in Australia</w:t>
      </w:r>
      <w:r w:rsidRPr="00677889">
        <w:rPr>
          <w:rFonts w:asciiTheme="minorHAnsi" w:hAnsiTheme="minorHAnsi" w:cstheme="minorHAnsi"/>
          <w:szCs w:val="21"/>
        </w:rPr>
        <w:t xml:space="preserve">. Retrieved from: </w:t>
      </w:r>
      <w:hyperlink r:id="rId46" w:history="1">
        <w:r w:rsidRPr="00677889">
          <w:rPr>
            <w:rStyle w:val="Hyperlink"/>
            <w:rFonts w:asciiTheme="minorHAnsi" w:hAnsiTheme="minorHAnsi" w:cstheme="minorHAnsi"/>
            <w:i w:val="0"/>
            <w:sz w:val="21"/>
            <w:szCs w:val="21"/>
          </w:rPr>
          <w:t>http://www.anmac.org.au/sites/default/files/documents/National_Guidelines_for_the_Accreditation_of_Nursing_and_Midwifery_Programs_0.pdf</w:t>
        </w:r>
      </w:hyperlink>
      <w:r w:rsidRPr="00677889">
        <w:rPr>
          <w:rFonts w:asciiTheme="minorHAnsi" w:hAnsiTheme="minorHAnsi" w:cstheme="minorHAnsi"/>
          <w:szCs w:val="21"/>
        </w:rPr>
        <w:t>. Accessed: 26 April 2015.</w:t>
      </w:r>
    </w:p>
    <w:p w14:paraId="75192404" w14:textId="77777777" w:rsidR="004C1838" w:rsidRPr="00677889" w:rsidRDefault="004C1838" w:rsidP="004C1838">
      <w:pPr>
        <w:ind w:left="567" w:hanging="567"/>
        <w:rPr>
          <w:rFonts w:asciiTheme="minorHAnsi" w:hAnsiTheme="minorHAnsi" w:cstheme="minorHAnsi"/>
          <w:szCs w:val="21"/>
        </w:rPr>
      </w:pPr>
      <w:r w:rsidRPr="00677889">
        <w:rPr>
          <w:rFonts w:asciiTheme="minorHAnsi" w:hAnsiTheme="minorHAnsi" w:cstheme="minorHAnsi"/>
          <w:szCs w:val="21"/>
        </w:rPr>
        <w:t xml:space="preserve">Australian Nursing and Midwifery Accreditation Council (2012) </w:t>
      </w:r>
      <w:r w:rsidRPr="00677889">
        <w:rPr>
          <w:rFonts w:asciiTheme="minorHAnsi" w:hAnsiTheme="minorHAnsi" w:cstheme="minorHAnsi"/>
          <w:i/>
          <w:szCs w:val="21"/>
        </w:rPr>
        <w:t>Registered Nurse Accreditation Standards 2012</w:t>
      </w:r>
      <w:r w:rsidRPr="00677889">
        <w:rPr>
          <w:rFonts w:asciiTheme="minorHAnsi" w:hAnsiTheme="minorHAnsi" w:cstheme="minorHAnsi"/>
          <w:szCs w:val="21"/>
        </w:rPr>
        <w:t xml:space="preserve">. Retrieved from: </w:t>
      </w:r>
      <w:hyperlink r:id="rId47" w:history="1">
        <w:r w:rsidRPr="00677889">
          <w:rPr>
            <w:rStyle w:val="Hyperlink"/>
            <w:rFonts w:asciiTheme="minorHAnsi" w:hAnsiTheme="minorHAnsi" w:cstheme="minorHAnsi"/>
            <w:i w:val="0"/>
            <w:sz w:val="21"/>
            <w:szCs w:val="21"/>
          </w:rPr>
          <w:t>http://www.nursingmidwiferyboard.gov.au/documents/default.aspx?record=WD10%2f1342&amp;dbid=AP&amp;chksum=N5ws04xdBlZijTTSdKnSTQ%3d%3d</w:t>
        </w:r>
      </w:hyperlink>
      <w:r w:rsidRPr="00677889">
        <w:rPr>
          <w:rFonts w:asciiTheme="minorHAnsi" w:hAnsiTheme="minorHAnsi" w:cstheme="minorHAnsi"/>
          <w:szCs w:val="21"/>
        </w:rPr>
        <w:t>. Accessed: 16 January 2015.</w:t>
      </w:r>
    </w:p>
    <w:p w14:paraId="6087A8DC" w14:textId="77777777" w:rsidR="004C1838" w:rsidRPr="00677889" w:rsidRDefault="004C1838" w:rsidP="004C1838">
      <w:pPr>
        <w:ind w:left="567" w:hanging="567"/>
        <w:rPr>
          <w:rFonts w:asciiTheme="minorHAnsi" w:hAnsiTheme="minorHAnsi" w:cstheme="minorHAnsi"/>
          <w:szCs w:val="21"/>
        </w:rPr>
      </w:pPr>
      <w:r w:rsidRPr="00677889">
        <w:rPr>
          <w:rFonts w:asciiTheme="minorHAnsi" w:hAnsiTheme="minorHAnsi" w:cstheme="minorHAnsi"/>
          <w:szCs w:val="21"/>
        </w:rPr>
        <w:lastRenderedPageBreak/>
        <w:t xml:space="preserve">Australian Nursing and Midwifery Accreditation Council (2012) </w:t>
      </w:r>
      <w:r w:rsidRPr="00677889">
        <w:rPr>
          <w:rFonts w:asciiTheme="minorHAnsi" w:hAnsiTheme="minorHAnsi" w:cstheme="minorHAnsi"/>
          <w:i/>
          <w:szCs w:val="21"/>
        </w:rPr>
        <w:t>Protocol for the Review of Nursing and Midwifery Accreditation Standards.</w:t>
      </w:r>
      <w:r w:rsidRPr="00677889">
        <w:rPr>
          <w:rFonts w:asciiTheme="minorHAnsi" w:hAnsiTheme="minorHAnsi" w:cstheme="minorHAnsi"/>
          <w:szCs w:val="21"/>
        </w:rPr>
        <w:t xml:space="preserve"> Retrieved from: </w:t>
      </w:r>
      <w:hyperlink r:id="rId48" w:history="1">
        <w:r w:rsidRPr="00677889">
          <w:rPr>
            <w:rStyle w:val="Hyperlink"/>
            <w:rFonts w:asciiTheme="minorHAnsi" w:hAnsiTheme="minorHAnsi" w:cstheme="minorHAnsi"/>
            <w:i w:val="0"/>
            <w:sz w:val="21"/>
            <w:szCs w:val="21"/>
          </w:rPr>
          <w:t>http://www.anmac.org.au/sites/default/files/documents/ANMAC_Protocol-For_the_review_of_nursing_and_midwifery_accreditation_standards.pdf</w:t>
        </w:r>
      </w:hyperlink>
      <w:r w:rsidRPr="00677889">
        <w:rPr>
          <w:rFonts w:asciiTheme="minorHAnsi" w:hAnsiTheme="minorHAnsi" w:cstheme="minorHAnsi"/>
          <w:szCs w:val="21"/>
        </w:rPr>
        <w:t>. Accessed: 16 January 2015.</w:t>
      </w:r>
    </w:p>
    <w:p w14:paraId="4F65E00E" w14:textId="77777777" w:rsidR="004C1838" w:rsidRPr="00677889" w:rsidRDefault="004C1838" w:rsidP="004C1838">
      <w:pPr>
        <w:ind w:left="567" w:hanging="567"/>
        <w:rPr>
          <w:rFonts w:asciiTheme="minorHAnsi" w:hAnsiTheme="minorHAnsi" w:cstheme="minorHAnsi"/>
          <w:szCs w:val="21"/>
        </w:rPr>
      </w:pPr>
      <w:r w:rsidRPr="00677889">
        <w:rPr>
          <w:rFonts w:asciiTheme="minorHAnsi" w:hAnsiTheme="minorHAnsi" w:cstheme="minorHAnsi"/>
          <w:szCs w:val="21"/>
        </w:rPr>
        <w:t xml:space="preserve">Australian Nursing and Midwifery Accreditation Council (2011) </w:t>
      </w:r>
      <w:r w:rsidRPr="00677889">
        <w:rPr>
          <w:rFonts w:asciiTheme="minorHAnsi" w:hAnsiTheme="minorHAnsi" w:cstheme="minorHAnsi"/>
          <w:i/>
          <w:szCs w:val="21"/>
        </w:rPr>
        <w:t>Consultation Paper: Review of Registered Nurse Accreditation Standards</w:t>
      </w:r>
      <w:r w:rsidRPr="00677889">
        <w:rPr>
          <w:rFonts w:asciiTheme="minorHAnsi" w:hAnsiTheme="minorHAnsi" w:cstheme="minorHAnsi"/>
          <w:szCs w:val="21"/>
        </w:rPr>
        <w:t xml:space="preserve">. Retrieved from: </w:t>
      </w:r>
      <w:hyperlink r:id="rId49" w:history="1">
        <w:r w:rsidRPr="00677889">
          <w:rPr>
            <w:rStyle w:val="Hyperlink"/>
            <w:rFonts w:asciiTheme="minorHAnsi" w:hAnsiTheme="minorHAnsi" w:cstheme="minorHAnsi"/>
            <w:i w:val="0"/>
            <w:sz w:val="21"/>
            <w:szCs w:val="21"/>
          </w:rPr>
          <w:t>http://www.anmac.org.au/sites/default/files/documents/ANMAC%20First%20Consultation%20Paper%20Review%20RN%20Standards%20Oct%202011.pdf</w:t>
        </w:r>
      </w:hyperlink>
      <w:r w:rsidRPr="00677889">
        <w:rPr>
          <w:rFonts w:asciiTheme="minorHAnsi" w:hAnsiTheme="minorHAnsi" w:cstheme="minorHAnsi"/>
          <w:szCs w:val="21"/>
        </w:rPr>
        <w:t>. Accessed: 22 March 2015.</w:t>
      </w:r>
    </w:p>
    <w:p w14:paraId="125154A7" w14:textId="77777777" w:rsidR="004C1838" w:rsidRPr="00677889" w:rsidRDefault="004C1838" w:rsidP="004C1838">
      <w:pPr>
        <w:ind w:left="567" w:hanging="567"/>
        <w:rPr>
          <w:rFonts w:asciiTheme="minorHAnsi" w:hAnsiTheme="minorHAnsi" w:cstheme="minorHAnsi"/>
          <w:szCs w:val="21"/>
        </w:rPr>
      </w:pPr>
      <w:r w:rsidRPr="00677889">
        <w:rPr>
          <w:rFonts w:asciiTheme="minorHAnsi" w:hAnsiTheme="minorHAnsi" w:cstheme="minorHAnsi"/>
          <w:szCs w:val="21"/>
        </w:rPr>
        <w:t xml:space="preserve">Australian Pharmacy Council Ltd (2012) </w:t>
      </w:r>
      <w:r w:rsidRPr="00677889">
        <w:rPr>
          <w:rFonts w:asciiTheme="minorHAnsi" w:hAnsiTheme="minorHAnsi" w:cstheme="minorHAnsi"/>
          <w:i/>
          <w:szCs w:val="21"/>
        </w:rPr>
        <w:t>Accreditation Standards for Pharmacy Programs in Australia and New Zealand</w:t>
      </w:r>
      <w:r w:rsidRPr="00677889">
        <w:rPr>
          <w:rFonts w:asciiTheme="minorHAnsi" w:hAnsiTheme="minorHAnsi" w:cstheme="minorHAnsi"/>
          <w:szCs w:val="21"/>
        </w:rPr>
        <w:t xml:space="preserve">. Retrieved from: </w:t>
      </w:r>
      <w:hyperlink r:id="rId50" w:history="1">
        <w:r w:rsidRPr="00677889">
          <w:rPr>
            <w:rStyle w:val="Hyperlink"/>
            <w:rFonts w:asciiTheme="minorHAnsi" w:hAnsiTheme="minorHAnsi" w:cstheme="minorHAnsi"/>
            <w:i w:val="0"/>
            <w:sz w:val="21"/>
            <w:szCs w:val="21"/>
          </w:rPr>
          <w:t>http://pharmacycouncil.org.au/content/assets/files/Publications/Accreditation%20Standards%20for%20Pharmacy%20Degree%20Programs%202014.pdf</w:t>
        </w:r>
      </w:hyperlink>
      <w:r w:rsidRPr="00677889">
        <w:rPr>
          <w:rFonts w:asciiTheme="minorHAnsi" w:hAnsiTheme="minorHAnsi" w:cstheme="minorHAnsi"/>
          <w:szCs w:val="21"/>
        </w:rPr>
        <w:t>. Accessed: 16 April 2014.</w:t>
      </w:r>
    </w:p>
    <w:p w14:paraId="55293CCB" w14:textId="77777777" w:rsidR="004C1838" w:rsidRPr="00677889" w:rsidRDefault="004C1838" w:rsidP="004C1838">
      <w:pPr>
        <w:ind w:left="567" w:hanging="567"/>
        <w:rPr>
          <w:rFonts w:asciiTheme="minorHAnsi" w:hAnsiTheme="minorHAnsi" w:cstheme="minorHAnsi"/>
          <w:szCs w:val="21"/>
        </w:rPr>
      </w:pPr>
      <w:r w:rsidRPr="00677889">
        <w:rPr>
          <w:rFonts w:asciiTheme="minorHAnsi" w:hAnsiTheme="minorHAnsi" w:cstheme="minorHAnsi"/>
          <w:szCs w:val="21"/>
        </w:rPr>
        <w:t xml:space="preserve">Australian Physiotherapy Council (2015) </w:t>
      </w:r>
      <w:r w:rsidRPr="00677889">
        <w:rPr>
          <w:rFonts w:asciiTheme="minorHAnsi" w:hAnsiTheme="minorHAnsi" w:cstheme="minorHAnsi"/>
          <w:i/>
          <w:szCs w:val="21"/>
        </w:rPr>
        <w:t>Review and Development of Accreditation Standards for Entry-Level Physiotherapy</w:t>
      </w:r>
      <w:r w:rsidRPr="00677889">
        <w:rPr>
          <w:rFonts w:asciiTheme="minorHAnsi" w:hAnsiTheme="minorHAnsi" w:cstheme="minorHAnsi"/>
          <w:szCs w:val="21"/>
        </w:rPr>
        <w:t xml:space="preserve">, January. Retrieved from: </w:t>
      </w:r>
      <w:hyperlink r:id="rId51" w:history="1">
        <w:r w:rsidRPr="00677889">
          <w:rPr>
            <w:rStyle w:val="Hyperlink"/>
            <w:rFonts w:asciiTheme="minorHAnsi" w:hAnsiTheme="minorHAnsi" w:cstheme="minorHAnsi"/>
            <w:i w:val="0"/>
            <w:sz w:val="21"/>
            <w:szCs w:val="21"/>
          </w:rPr>
          <w:t>http://www.physiocouncil.com.au/accreditation/2015_ConsultationPaper.pdf</w:t>
        </w:r>
      </w:hyperlink>
      <w:r w:rsidRPr="00677889">
        <w:rPr>
          <w:rFonts w:asciiTheme="minorHAnsi" w:hAnsiTheme="minorHAnsi" w:cstheme="minorHAnsi"/>
          <w:szCs w:val="21"/>
        </w:rPr>
        <w:t>. Accessed on: 25 February 2015.</w:t>
      </w:r>
    </w:p>
    <w:p w14:paraId="2A0E2571" w14:textId="77777777" w:rsidR="004C1838" w:rsidRPr="00677889" w:rsidRDefault="004C1838" w:rsidP="004C1838">
      <w:pPr>
        <w:ind w:left="567" w:hanging="567"/>
        <w:rPr>
          <w:rFonts w:asciiTheme="minorHAnsi" w:hAnsiTheme="minorHAnsi" w:cstheme="minorHAnsi"/>
          <w:szCs w:val="21"/>
        </w:rPr>
      </w:pPr>
      <w:r w:rsidRPr="00677889">
        <w:rPr>
          <w:rFonts w:asciiTheme="minorHAnsi" w:hAnsiTheme="minorHAnsi" w:cstheme="minorHAnsi"/>
          <w:szCs w:val="21"/>
        </w:rPr>
        <w:t xml:space="preserve">Australian Physiotherapy Council (2006) </w:t>
      </w:r>
      <w:r w:rsidRPr="00677889">
        <w:rPr>
          <w:rFonts w:asciiTheme="minorHAnsi" w:hAnsiTheme="minorHAnsi" w:cstheme="minorHAnsi"/>
          <w:i/>
          <w:szCs w:val="21"/>
        </w:rPr>
        <w:t>Australian Standards for Physiotherapy</w:t>
      </w:r>
      <w:r w:rsidRPr="00677889">
        <w:rPr>
          <w:rFonts w:asciiTheme="minorHAnsi" w:hAnsiTheme="minorHAnsi" w:cstheme="minorHAnsi"/>
          <w:szCs w:val="21"/>
        </w:rPr>
        <w:t xml:space="preserve">, Canberra, July. Retrieved from: </w:t>
      </w:r>
      <w:hyperlink r:id="rId52" w:history="1">
        <w:r w:rsidRPr="00677889">
          <w:rPr>
            <w:rStyle w:val="Hyperlink"/>
            <w:rFonts w:asciiTheme="minorHAnsi" w:hAnsiTheme="minorHAnsi" w:cstheme="minorHAnsi"/>
            <w:i w:val="0"/>
            <w:sz w:val="21"/>
            <w:szCs w:val="21"/>
          </w:rPr>
          <w:t>http://www.physiocouncil.com.au/files/the-australian-standards-for-physiotherapy</w:t>
        </w:r>
      </w:hyperlink>
      <w:r w:rsidRPr="00677889">
        <w:rPr>
          <w:rFonts w:asciiTheme="minorHAnsi" w:hAnsiTheme="minorHAnsi" w:cstheme="minorHAnsi"/>
          <w:szCs w:val="21"/>
        </w:rPr>
        <w:t>. Accessed: 25 February 2015.</w:t>
      </w:r>
    </w:p>
    <w:p w14:paraId="7BBF36E4" w14:textId="77777777" w:rsidR="004C1838" w:rsidRPr="00677889" w:rsidRDefault="004C1838" w:rsidP="004C1838">
      <w:pPr>
        <w:ind w:left="567" w:hanging="567"/>
        <w:rPr>
          <w:rFonts w:asciiTheme="minorHAnsi" w:hAnsiTheme="minorHAnsi" w:cstheme="minorHAnsi"/>
          <w:szCs w:val="21"/>
        </w:rPr>
      </w:pPr>
      <w:r w:rsidRPr="00677889">
        <w:rPr>
          <w:rFonts w:asciiTheme="minorHAnsi" w:hAnsiTheme="minorHAnsi" w:cstheme="minorHAnsi"/>
          <w:szCs w:val="21"/>
        </w:rPr>
        <w:t>Australian Primary Health Care Research Institute (2009</w:t>
      </w:r>
      <w:r w:rsidRPr="00677889">
        <w:rPr>
          <w:rFonts w:asciiTheme="minorHAnsi" w:hAnsiTheme="minorHAnsi" w:cstheme="minorHAnsi"/>
          <w:i/>
          <w:szCs w:val="21"/>
        </w:rPr>
        <w:t xml:space="preserve">) Primary Health Care Reform in Australia: Report to Support Australia's First National Primary Health Care Strategy, </w:t>
      </w:r>
      <w:r w:rsidRPr="00677889">
        <w:rPr>
          <w:rFonts w:asciiTheme="minorHAnsi" w:hAnsiTheme="minorHAnsi" w:cstheme="minorHAnsi"/>
          <w:szCs w:val="21"/>
        </w:rPr>
        <w:t xml:space="preserve">September. Retrieved from: </w:t>
      </w:r>
      <w:hyperlink r:id="rId53" w:history="1">
        <w:r w:rsidRPr="00677889">
          <w:rPr>
            <w:rStyle w:val="Hyperlink"/>
            <w:rFonts w:asciiTheme="minorHAnsi" w:hAnsiTheme="minorHAnsi" w:cstheme="minorHAnsi"/>
            <w:i w:val="0"/>
            <w:sz w:val="21"/>
            <w:szCs w:val="21"/>
          </w:rPr>
          <w:t>http://www.phcris.org.au/guides/about_phc.php</w:t>
        </w:r>
      </w:hyperlink>
      <w:r w:rsidRPr="00677889">
        <w:rPr>
          <w:rFonts w:asciiTheme="minorHAnsi" w:hAnsiTheme="minorHAnsi" w:cstheme="minorHAnsi"/>
          <w:szCs w:val="21"/>
        </w:rPr>
        <w:t>. Accessed: May 2015.</w:t>
      </w:r>
    </w:p>
    <w:p w14:paraId="71A9B6AC" w14:textId="77777777" w:rsidR="004C1838" w:rsidRPr="00677889" w:rsidRDefault="004C1838" w:rsidP="004C1838">
      <w:pPr>
        <w:ind w:left="567" w:hanging="567"/>
        <w:rPr>
          <w:rFonts w:asciiTheme="minorHAnsi" w:hAnsiTheme="minorHAnsi" w:cstheme="minorHAnsi"/>
          <w:szCs w:val="21"/>
        </w:rPr>
      </w:pPr>
      <w:r w:rsidRPr="00677889">
        <w:rPr>
          <w:rFonts w:asciiTheme="minorHAnsi" w:hAnsiTheme="minorHAnsi" w:cstheme="minorHAnsi"/>
          <w:szCs w:val="21"/>
        </w:rPr>
        <w:t xml:space="preserve">Australian Qualifications Framework Council (2013) </w:t>
      </w:r>
      <w:r w:rsidRPr="00677889">
        <w:rPr>
          <w:rFonts w:asciiTheme="minorHAnsi" w:hAnsiTheme="minorHAnsi" w:cstheme="minorHAnsi"/>
          <w:i/>
          <w:szCs w:val="21"/>
        </w:rPr>
        <w:t>Australian Qualifications Framework, 2nd ed</w:t>
      </w:r>
      <w:r w:rsidRPr="00677889">
        <w:rPr>
          <w:rFonts w:asciiTheme="minorHAnsi" w:hAnsiTheme="minorHAnsi" w:cstheme="minorHAnsi"/>
          <w:szCs w:val="21"/>
        </w:rPr>
        <w:t xml:space="preserve">. Retrieved from </w:t>
      </w:r>
      <w:hyperlink r:id="rId54" w:history="1">
        <w:r w:rsidRPr="00677889">
          <w:rPr>
            <w:rStyle w:val="Hyperlink"/>
            <w:rFonts w:asciiTheme="minorHAnsi" w:hAnsiTheme="minorHAnsi" w:cstheme="minorHAnsi"/>
            <w:i w:val="0"/>
            <w:sz w:val="21"/>
            <w:szCs w:val="21"/>
          </w:rPr>
          <w:t>http://www.aqf.edu.au/wp-content/uploads/2013/05/AQF-2nd-Edition-January-2013.pdf</w:t>
        </w:r>
      </w:hyperlink>
      <w:r w:rsidRPr="00677889">
        <w:rPr>
          <w:rFonts w:asciiTheme="minorHAnsi" w:hAnsiTheme="minorHAnsi" w:cstheme="minorHAnsi"/>
          <w:szCs w:val="21"/>
        </w:rPr>
        <w:t>. Accessed: 10 April 2015.</w:t>
      </w:r>
    </w:p>
    <w:p w14:paraId="16D1C96A" w14:textId="77777777" w:rsidR="004C1838" w:rsidRPr="00677889" w:rsidRDefault="004C1838" w:rsidP="004C1838">
      <w:pPr>
        <w:ind w:left="567" w:hanging="567"/>
        <w:rPr>
          <w:rFonts w:asciiTheme="minorHAnsi" w:hAnsiTheme="minorHAnsi" w:cstheme="minorHAnsi"/>
          <w:szCs w:val="21"/>
        </w:rPr>
      </w:pPr>
      <w:r w:rsidRPr="00677889">
        <w:rPr>
          <w:rFonts w:asciiTheme="minorHAnsi" w:hAnsiTheme="minorHAnsi" w:cstheme="minorHAnsi"/>
          <w:szCs w:val="21"/>
        </w:rPr>
        <w:t xml:space="preserve">Canadian Federation of Chiropractic Regulatory and Educational Accrediting Boards (2011) </w:t>
      </w:r>
      <w:r w:rsidRPr="00677889">
        <w:rPr>
          <w:rFonts w:asciiTheme="minorHAnsi" w:hAnsiTheme="minorHAnsi" w:cstheme="minorHAnsi"/>
          <w:i/>
          <w:szCs w:val="21"/>
        </w:rPr>
        <w:t>Standards for Accreditation of Doctor of Chiropractic Programmes</w:t>
      </w:r>
      <w:r w:rsidRPr="00677889">
        <w:rPr>
          <w:rFonts w:asciiTheme="minorHAnsi" w:hAnsiTheme="minorHAnsi" w:cstheme="minorHAnsi"/>
          <w:szCs w:val="21"/>
        </w:rPr>
        <w:t xml:space="preserve">, Toronto, 26 November. Retrieved from: </w:t>
      </w:r>
      <w:hyperlink r:id="rId55" w:history="1">
        <w:r w:rsidRPr="00677889">
          <w:rPr>
            <w:rStyle w:val="Hyperlink"/>
            <w:rFonts w:asciiTheme="minorHAnsi" w:hAnsiTheme="minorHAnsi" w:cstheme="minorHAnsi"/>
            <w:i w:val="0"/>
            <w:sz w:val="21"/>
            <w:szCs w:val="21"/>
          </w:rPr>
          <w:t>http://www.chirofed.ca/english/pdf/Standards-for-Accreditation-of-Doctor-of-Chiropractic-Programmes.pdf</w:t>
        </w:r>
      </w:hyperlink>
      <w:r w:rsidRPr="00677889">
        <w:rPr>
          <w:rFonts w:asciiTheme="minorHAnsi" w:hAnsiTheme="minorHAnsi" w:cstheme="minorHAnsi"/>
          <w:szCs w:val="21"/>
        </w:rPr>
        <w:t>. Accessed: 12 January 2015.</w:t>
      </w:r>
    </w:p>
    <w:p w14:paraId="0928B4C3" w14:textId="77777777" w:rsidR="004C1838" w:rsidRPr="00677889" w:rsidRDefault="004C1838" w:rsidP="004C1838">
      <w:pPr>
        <w:ind w:left="567" w:hanging="567"/>
        <w:rPr>
          <w:rFonts w:asciiTheme="minorHAnsi" w:hAnsiTheme="minorHAnsi" w:cstheme="minorHAnsi"/>
          <w:szCs w:val="21"/>
        </w:rPr>
      </w:pPr>
      <w:r w:rsidRPr="00677889">
        <w:rPr>
          <w:rFonts w:asciiTheme="minorHAnsi" w:hAnsiTheme="minorHAnsi" w:cstheme="minorHAnsi"/>
          <w:szCs w:val="21"/>
        </w:rPr>
        <w:t xml:space="preserve">Chiropractic Board of Australia (2014) </w:t>
      </w:r>
      <w:r w:rsidRPr="00677889">
        <w:rPr>
          <w:rFonts w:asciiTheme="minorHAnsi" w:hAnsiTheme="minorHAnsi" w:cstheme="minorHAnsi"/>
          <w:i/>
          <w:szCs w:val="21"/>
        </w:rPr>
        <w:t>Code of Conduct for Chiropractors</w:t>
      </w:r>
      <w:r w:rsidRPr="00677889">
        <w:rPr>
          <w:rFonts w:asciiTheme="minorHAnsi" w:hAnsiTheme="minorHAnsi" w:cstheme="minorHAnsi"/>
          <w:szCs w:val="21"/>
        </w:rPr>
        <w:t xml:space="preserve">. Retrieved from: </w:t>
      </w:r>
      <w:hyperlink r:id="rId56" w:history="1">
        <w:r w:rsidRPr="00677889">
          <w:rPr>
            <w:rStyle w:val="Hyperlink"/>
            <w:rFonts w:asciiTheme="minorHAnsi" w:hAnsiTheme="minorHAnsi" w:cstheme="minorHAnsi"/>
            <w:i w:val="0"/>
            <w:sz w:val="21"/>
            <w:szCs w:val="21"/>
          </w:rPr>
          <w:t>http://www.chiropracticboard.gov.au/Codes-guidelines/Code-of-conduct.aspx</w:t>
        </w:r>
      </w:hyperlink>
      <w:r w:rsidRPr="00677889">
        <w:rPr>
          <w:rFonts w:asciiTheme="minorHAnsi" w:hAnsiTheme="minorHAnsi" w:cstheme="minorHAnsi"/>
          <w:szCs w:val="21"/>
        </w:rPr>
        <w:t>. Accessed: 10 April 2015.</w:t>
      </w:r>
    </w:p>
    <w:p w14:paraId="79AB5ABA" w14:textId="77777777" w:rsidR="008E717B" w:rsidRPr="00677889" w:rsidRDefault="008E717B" w:rsidP="008E717B">
      <w:pPr>
        <w:ind w:left="567" w:hanging="567"/>
        <w:rPr>
          <w:rFonts w:asciiTheme="minorHAnsi" w:hAnsiTheme="minorHAnsi" w:cstheme="minorHAnsi"/>
          <w:szCs w:val="21"/>
        </w:rPr>
      </w:pPr>
      <w:r w:rsidRPr="00677889">
        <w:rPr>
          <w:rFonts w:asciiTheme="minorHAnsi" w:hAnsiTheme="minorHAnsi" w:cstheme="minorHAnsi"/>
          <w:szCs w:val="21"/>
        </w:rPr>
        <w:t xml:space="preserve">Commonwealth of Australia (Department of Health) (2016) </w:t>
      </w:r>
      <w:r w:rsidRPr="00677889">
        <w:rPr>
          <w:rFonts w:asciiTheme="minorHAnsi" w:hAnsiTheme="minorHAnsi" w:cstheme="minorHAnsi"/>
          <w:i/>
          <w:szCs w:val="21"/>
        </w:rPr>
        <w:t>Aboriginal and Torres Strait Islander Health Curriculum Framework</w:t>
      </w:r>
      <w:r w:rsidRPr="00677889">
        <w:rPr>
          <w:rFonts w:asciiTheme="minorHAnsi" w:hAnsiTheme="minorHAnsi" w:cstheme="minorHAnsi"/>
          <w:szCs w:val="21"/>
        </w:rPr>
        <w:t xml:space="preserve">. Retrieved from: </w:t>
      </w:r>
      <w:hyperlink r:id="rId57" w:history="1">
        <w:r w:rsidR="00175DA2" w:rsidRPr="00677889">
          <w:rPr>
            <w:rStyle w:val="Hyperlink"/>
            <w:rFonts w:asciiTheme="minorHAnsi" w:hAnsiTheme="minorHAnsi" w:cstheme="minorHAnsi"/>
            <w:i w:val="0"/>
            <w:sz w:val="21"/>
            <w:szCs w:val="21"/>
          </w:rPr>
          <w:t>https://health.gov.au/internet/main/publishing.nsf/Content/72C7E23E1BD5E9CFCA257F640082CD48/$File/Health-Curriculum-Framework.pdf</w:t>
        </w:r>
      </w:hyperlink>
      <w:r w:rsidR="00175DA2" w:rsidRPr="00677889">
        <w:rPr>
          <w:rFonts w:asciiTheme="minorHAnsi" w:hAnsiTheme="minorHAnsi" w:cstheme="minorHAnsi"/>
          <w:i/>
          <w:szCs w:val="21"/>
        </w:rPr>
        <w:t xml:space="preserve">. </w:t>
      </w:r>
      <w:r w:rsidR="00175DA2" w:rsidRPr="00677889">
        <w:rPr>
          <w:rFonts w:asciiTheme="minorHAnsi" w:hAnsiTheme="minorHAnsi" w:cstheme="minorHAnsi"/>
          <w:szCs w:val="21"/>
        </w:rPr>
        <w:t>Accessed: 20 March 2016.</w:t>
      </w:r>
    </w:p>
    <w:p w14:paraId="3DC4931F" w14:textId="77777777" w:rsidR="004C1838" w:rsidRPr="00677889" w:rsidRDefault="004C1838" w:rsidP="004C1838">
      <w:pPr>
        <w:ind w:left="567" w:hanging="567"/>
        <w:rPr>
          <w:rFonts w:asciiTheme="minorHAnsi" w:hAnsiTheme="minorHAnsi" w:cstheme="minorHAnsi"/>
          <w:szCs w:val="21"/>
        </w:rPr>
      </w:pPr>
      <w:r w:rsidRPr="00677889">
        <w:rPr>
          <w:rFonts w:asciiTheme="minorHAnsi" w:hAnsiTheme="minorHAnsi" w:cstheme="minorHAnsi"/>
          <w:szCs w:val="21"/>
        </w:rPr>
        <w:lastRenderedPageBreak/>
        <w:t xml:space="preserve">Council on Australian Governments Health Council (2015) </w:t>
      </w:r>
      <w:r w:rsidRPr="00677889">
        <w:rPr>
          <w:rFonts w:asciiTheme="minorHAnsi" w:hAnsiTheme="minorHAnsi" w:cstheme="minorHAnsi"/>
          <w:i/>
          <w:szCs w:val="21"/>
        </w:rPr>
        <w:t>Bulletin 3 – Review of National Registration and Accreditation Scheme for Health Professions</w:t>
      </w:r>
      <w:r w:rsidRPr="00677889">
        <w:rPr>
          <w:rFonts w:asciiTheme="minorHAnsi" w:hAnsiTheme="minorHAnsi" w:cstheme="minorHAnsi"/>
          <w:szCs w:val="21"/>
        </w:rPr>
        <w:t xml:space="preserve">, February. Retrieved from: </w:t>
      </w:r>
      <w:hyperlink r:id="rId58" w:history="1">
        <w:r w:rsidRPr="00677889">
          <w:rPr>
            <w:rStyle w:val="Hyperlink"/>
            <w:rFonts w:asciiTheme="minorHAnsi" w:hAnsiTheme="minorHAnsi" w:cstheme="minorHAnsi"/>
            <w:i w:val="0"/>
            <w:sz w:val="21"/>
            <w:szCs w:val="21"/>
          </w:rPr>
          <w:t>http://www.coaghealthcouncil.gov.au/DesktopModules/EasyDNNNews/DocumentDownload.ashx?portalid=0&amp;moduleid=524&amp;articleid=51&amp;documentid=54</w:t>
        </w:r>
      </w:hyperlink>
      <w:r w:rsidRPr="00677889">
        <w:rPr>
          <w:rFonts w:asciiTheme="minorHAnsi" w:hAnsiTheme="minorHAnsi" w:cstheme="minorHAnsi"/>
          <w:szCs w:val="21"/>
        </w:rPr>
        <w:t>. Accessed: 19 April 2015.</w:t>
      </w:r>
    </w:p>
    <w:p w14:paraId="394CE859" w14:textId="77777777" w:rsidR="004C1838" w:rsidRPr="00677889" w:rsidRDefault="004C1838" w:rsidP="004C1838">
      <w:pPr>
        <w:ind w:left="567" w:hanging="567"/>
        <w:rPr>
          <w:rFonts w:asciiTheme="minorHAnsi" w:hAnsiTheme="minorHAnsi" w:cstheme="minorHAnsi"/>
          <w:szCs w:val="21"/>
        </w:rPr>
      </w:pPr>
      <w:r w:rsidRPr="00677889">
        <w:rPr>
          <w:rFonts w:asciiTheme="minorHAnsi" w:hAnsiTheme="minorHAnsi" w:cstheme="minorHAnsi"/>
          <w:szCs w:val="21"/>
        </w:rPr>
        <w:t xml:space="preserve">Council of Australian Governments (2012) </w:t>
      </w:r>
      <w:r w:rsidRPr="00677889">
        <w:rPr>
          <w:rFonts w:asciiTheme="minorHAnsi" w:hAnsiTheme="minorHAnsi" w:cstheme="minorHAnsi"/>
          <w:i/>
          <w:szCs w:val="21"/>
        </w:rPr>
        <w:t>The Trans-Tasman Mutual Recognition Arrangement</w:t>
      </w:r>
      <w:r w:rsidRPr="00677889">
        <w:rPr>
          <w:rFonts w:asciiTheme="minorHAnsi" w:hAnsiTheme="minorHAnsi" w:cstheme="minorHAnsi"/>
          <w:szCs w:val="21"/>
        </w:rPr>
        <w:t xml:space="preserve">, Commonwealth of Australia. Retrieved from: </w:t>
      </w:r>
      <w:hyperlink r:id="rId59" w:history="1">
        <w:r w:rsidRPr="00677889">
          <w:rPr>
            <w:rStyle w:val="Hyperlink"/>
            <w:rFonts w:asciiTheme="minorHAnsi" w:hAnsiTheme="minorHAnsi" w:cstheme="minorHAnsi"/>
            <w:i w:val="0"/>
            <w:sz w:val="21"/>
            <w:szCs w:val="21"/>
          </w:rPr>
          <w:t>https://www.coag.gov.au/the_trans-tasman_mutual_recognition_arrangement</w:t>
        </w:r>
      </w:hyperlink>
      <w:r w:rsidRPr="00677889">
        <w:rPr>
          <w:rFonts w:asciiTheme="minorHAnsi" w:hAnsiTheme="minorHAnsi" w:cstheme="minorHAnsi"/>
          <w:szCs w:val="21"/>
        </w:rPr>
        <w:t>. Accessed: 15 April 2015.</w:t>
      </w:r>
    </w:p>
    <w:p w14:paraId="567A813D" w14:textId="77777777" w:rsidR="004C1838" w:rsidRPr="00677889" w:rsidRDefault="004C1838" w:rsidP="004C1838">
      <w:pPr>
        <w:ind w:left="567" w:hanging="567"/>
        <w:rPr>
          <w:rFonts w:asciiTheme="minorHAnsi" w:hAnsiTheme="minorHAnsi" w:cstheme="minorHAnsi"/>
          <w:szCs w:val="21"/>
        </w:rPr>
      </w:pPr>
      <w:r w:rsidRPr="00677889">
        <w:rPr>
          <w:rFonts w:asciiTheme="minorHAnsi" w:hAnsiTheme="minorHAnsi" w:cstheme="minorHAnsi"/>
          <w:szCs w:val="21"/>
        </w:rPr>
        <w:t xml:space="preserve">Council of Australian Governments (2008) </w:t>
      </w:r>
      <w:r w:rsidRPr="00677889">
        <w:rPr>
          <w:rFonts w:asciiTheme="minorHAnsi" w:hAnsiTheme="minorHAnsi" w:cstheme="minorHAnsi"/>
          <w:i/>
          <w:szCs w:val="21"/>
        </w:rPr>
        <w:t>Intergovernmental Agreement for a National Registration and Accreditation Scheme for the Health Professions</w:t>
      </w:r>
      <w:r w:rsidRPr="00677889">
        <w:rPr>
          <w:rFonts w:asciiTheme="minorHAnsi" w:hAnsiTheme="minorHAnsi" w:cstheme="minorHAnsi"/>
          <w:szCs w:val="21"/>
        </w:rPr>
        <w:t xml:space="preserve">. Retrieved from: </w:t>
      </w:r>
      <w:hyperlink r:id="rId60" w:history="1">
        <w:r w:rsidRPr="00677889">
          <w:rPr>
            <w:rStyle w:val="Hyperlink"/>
            <w:rFonts w:asciiTheme="minorHAnsi" w:hAnsiTheme="minorHAnsi" w:cstheme="minorHAnsi"/>
            <w:i w:val="0"/>
            <w:sz w:val="21"/>
            <w:szCs w:val="21"/>
          </w:rPr>
          <w:t>http://www.ahpra.gov.au/Legislation-and-Publications/Ministerial-Directives-and-Communiques.aspx</w:t>
        </w:r>
      </w:hyperlink>
      <w:r w:rsidRPr="00677889">
        <w:rPr>
          <w:rFonts w:asciiTheme="minorHAnsi" w:hAnsiTheme="minorHAnsi" w:cstheme="minorHAnsi"/>
          <w:szCs w:val="21"/>
        </w:rPr>
        <w:t>. Accessed: 10 April 2015.</w:t>
      </w:r>
    </w:p>
    <w:p w14:paraId="34BCD202" w14:textId="77777777" w:rsidR="004C1838" w:rsidRPr="00677889" w:rsidRDefault="004C1838" w:rsidP="004C1838">
      <w:pPr>
        <w:ind w:left="567" w:hanging="567"/>
        <w:rPr>
          <w:rFonts w:asciiTheme="minorHAnsi" w:hAnsiTheme="minorHAnsi" w:cstheme="minorHAnsi"/>
          <w:szCs w:val="21"/>
        </w:rPr>
      </w:pPr>
      <w:r w:rsidRPr="00677889">
        <w:rPr>
          <w:rFonts w:asciiTheme="minorHAnsi" w:hAnsiTheme="minorHAnsi" w:cstheme="minorHAnsi"/>
          <w:szCs w:val="21"/>
        </w:rPr>
        <w:t xml:space="preserve">Council on Chiropractic Education Australasia (2009) </w:t>
      </w:r>
      <w:r w:rsidRPr="00677889">
        <w:rPr>
          <w:rFonts w:asciiTheme="minorHAnsi" w:hAnsiTheme="minorHAnsi" w:cstheme="minorHAnsi"/>
          <w:i/>
          <w:szCs w:val="21"/>
        </w:rPr>
        <w:t>Competency Based Standards for Entry Level Chiropractors</w:t>
      </w:r>
      <w:r w:rsidRPr="00677889">
        <w:rPr>
          <w:rFonts w:asciiTheme="minorHAnsi" w:hAnsiTheme="minorHAnsi" w:cstheme="minorHAnsi"/>
          <w:szCs w:val="21"/>
        </w:rPr>
        <w:t xml:space="preserve">. Retrieved from: </w:t>
      </w:r>
      <w:hyperlink r:id="rId61" w:history="1">
        <w:r w:rsidRPr="00677889">
          <w:rPr>
            <w:rStyle w:val="Hyperlink"/>
            <w:rFonts w:asciiTheme="minorHAnsi" w:hAnsiTheme="minorHAnsi" w:cstheme="minorHAnsi"/>
            <w:i w:val="0"/>
            <w:sz w:val="21"/>
            <w:szCs w:val="21"/>
          </w:rPr>
          <w:t>http://www.ccea.com.au/index.php/download_file/view/18/177/</w:t>
        </w:r>
      </w:hyperlink>
      <w:r w:rsidRPr="00677889">
        <w:rPr>
          <w:rFonts w:asciiTheme="minorHAnsi" w:hAnsiTheme="minorHAnsi" w:cstheme="minorHAnsi"/>
          <w:szCs w:val="21"/>
        </w:rPr>
        <w:t>. Accessed: 10 April 2015.</w:t>
      </w:r>
    </w:p>
    <w:p w14:paraId="4AD17031" w14:textId="77777777" w:rsidR="004C1838" w:rsidRPr="00677889" w:rsidRDefault="004C1838" w:rsidP="004C1838">
      <w:pPr>
        <w:ind w:left="567" w:hanging="567"/>
        <w:rPr>
          <w:rFonts w:asciiTheme="minorHAnsi" w:hAnsiTheme="minorHAnsi" w:cstheme="minorHAnsi"/>
          <w:szCs w:val="21"/>
        </w:rPr>
      </w:pPr>
      <w:r w:rsidRPr="00677889">
        <w:rPr>
          <w:rFonts w:asciiTheme="minorHAnsi" w:hAnsiTheme="minorHAnsi" w:cstheme="minorHAnsi"/>
          <w:szCs w:val="21"/>
        </w:rPr>
        <w:t xml:space="preserve">Council on Chiropractic Education Australasia (2009) </w:t>
      </w:r>
      <w:r w:rsidRPr="00677889">
        <w:rPr>
          <w:rFonts w:asciiTheme="minorHAnsi" w:hAnsiTheme="minorHAnsi" w:cstheme="minorHAnsi"/>
          <w:i/>
          <w:szCs w:val="21"/>
        </w:rPr>
        <w:t>Educational Standards for First Professional Award Programs in Chiropractic</w:t>
      </w:r>
      <w:r w:rsidRPr="00677889">
        <w:rPr>
          <w:rFonts w:asciiTheme="minorHAnsi" w:hAnsiTheme="minorHAnsi" w:cstheme="minorHAnsi"/>
          <w:szCs w:val="21"/>
        </w:rPr>
        <w:t xml:space="preserve">. Retrieved from: </w:t>
      </w:r>
      <w:hyperlink r:id="rId62" w:history="1">
        <w:r w:rsidRPr="00677889">
          <w:rPr>
            <w:rStyle w:val="Hyperlink"/>
            <w:rFonts w:asciiTheme="minorHAnsi" w:hAnsiTheme="minorHAnsi" w:cstheme="minorHAnsi"/>
            <w:i w:val="0"/>
            <w:sz w:val="21"/>
            <w:szCs w:val="21"/>
          </w:rPr>
          <w:t>http://www.ccea.com.au/files/4213/8872/1929/CCEA_Educational_Standards_-_First_Professional_-_December_2009.pdf</w:t>
        </w:r>
      </w:hyperlink>
      <w:r w:rsidRPr="00677889">
        <w:rPr>
          <w:rFonts w:asciiTheme="minorHAnsi" w:hAnsiTheme="minorHAnsi" w:cstheme="minorHAnsi"/>
          <w:szCs w:val="21"/>
        </w:rPr>
        <w:t>. Accessed: 10 April 2015.</w:t>
      </w:r>
    </w:p>
    <w:p w14:paraId="5FC9DCFE" w14:textId="77777777" w:rsidR="004C1838" w:rsidRPr="00677889" w:rsidRDefault="004C1838" w:rsidP="004C1838">
      <w:pPr>
        <w:ind w:left="567" w:hanging="567"/>
        <w:rPr>
          <w:rFonts w:asciiTheme="minorHAnsi" w:hAnsiTheme="minorHAnsi" w:cstheme="minorHAnsi"/>
          <w:szCs w:val="21"/>
        </w:rPr>
      </w:pPr>
      <w:r w:rsidRPr="00677889">
        <w:rPr>
          <w:rFonts w:asciiTheme="minorHAnsi" w:hAnsiTheme="minorHAnsi" w:cstheme="minorHAnsi"/>
          <w:szCs w:val="21"/>
        </w:rPr>
        <w:t xml:space="preserve">Councils of Chiropractic Education International (2015) </w:t>
      </w:r>
      <w:r w:rsidRPr="00677889">
        <w:rPr>
          <w:rFonts w:asciiTheme="minorHAnsi" w:hAnsiTheme="minorHAnsi" w:cstheme="minorHAnsi"/>
          <w:i/>
          <w:szCs w:val="21"/>
        </w:rPr>
        <w:t>Preview Draft 8 - The International Framework for Chiropractic Education and Accreditation</w:t>
      </w:r>
      <w:r w:rsidRPr="00677889">
        <w:rPr>
          <w:rFonts w:asciiTheme="minorHAnsi" w:hAnsiTheme="minorHAnsi" w:cstheme="minorHAnsi"/>
          <w:szCs w:val="21"/>
        </w:rPr>
        <w:t>, February.</w:t>
      </w:r>
    </w:p>
    <w:p w14:paraId="5E2FEA44" w14:textId="77777777" w:rsidR="004C1838" w:rsidRPr="00677889" w:rsidRDefault="004C1838" w:rsidP="004C1838">
      <w:pPr>
        <w:ind w:left="567" w:hanging="567"/>
        <w:rPr>
          <w:rFonts w:asciiTheme="minorHAnsi" w:hAnsiTheme="minorHAnsi" w:cstheme="minorHAnsi"/>
          <w:szCs w:val="21"/>
        </w:rPr>
      </w:pPr>
      <w:r w:rsidRPr="00677889">
        <w:rPr>
          <w:rFonts w:asciiTheme="minorHAnsi" w:hAnsiTheme="minorHAnsi" w:cstheme="minorHAnsi"/>
          <w:szCs w:val="21"/>
        </w:rPr>
        <w:t xml:space="preserve">Councils on Chiropractic Education International (2010) </w:t>
      </w:r>
      <w:r w:rsidRPr="00677889">
        <w:rPr>
          <w:rFonts w:asciiTheme="minorHAnsi" w:hAnsiTheme="minorHAnsi" w:cstheme="minorHAnsi"/>
          <w:i/>
          <w:szCs w:val="21"/>
        </w:rPr>
        <w:t>International Chiropractic Accreditation Standards</w:t>
      </w:r>
      <w:r w:rsidRPr="00677889">
        <w:rPr>
          <w:rFonts w:asciiTheme="minorHAnsi" w:hAnsiTheme="minorHAnsi" w:cstheme="minorHAnsi"/>
          <w:szCs w:val="21"/>
        </w:rPr>
        <w:t xml:space="preserve">. Retrieved from: </w:t>
      </w:r>
      <w:hyperlink r:id="rId63" w:history="1">
        <w:r w:rsidRPr="00677889">
          <w:rPr>
            <w:rStyle w:val="Hyperlink"/>
            <w:rFonts w:asciiTheme="minorHAnsi" w:hAnsiTheme="minorHAnsi" w:cstheme="minorHAnsi"/>
            <w:i w:val="0"/>
            <w:sz w:val="21"/>
            <w:szCs w:val="21"/>
          </w:rPr>
          <w:t>http://www.cceintl.org/uploads/2010-04-26_CCEI_International_Chiropractic_Accreditation_Standards_vfd_5_09.pdf</w:t>
        </w:r>
      </w:hyperlink>
      <w:r w:rsidRPr="00677889">
        <w:rPr>
          <w:rFonts w:asciiTheme="minorHAnsi" w:hAnsiTheme="minorHAnsi" w:cstheme="minorHAnsi"/>
          <w:szCs w:val="21"/>
        </w:rPr>
        <w:t>. Accessed: 12 January 2015.</w:t>
      </w:r>
    </w:p>
    <w:p w14:paraId="6F3B256A" w14:textId="77777777" w:rsidR="004C1838" w:rsidRPr="00677889" w:rsidRDefault="004C1838" w:rsidP="004C1838">
      <w:pPr>
        <w:ind w:left="567" w:hanging="567"/>
        <w:rPr>
          <w:rFonts w:asciiTheme="minorHAnsi" w:hAnsiTheme="minorHAnsi" w:cstheme="minorHAnsi"/>
          <w:szCs w:val="21"/>
        </w:rPr>
      </w:pPr>
      <w:r w:rsidRPr="00677889">
        <w:rPr>
          <w:rFonts w:asciiTheme="minorHAnsi" w:hAnsiTheme="minorHAnsi" w:cstheme="minorHAnsi"/>
          <w:szCs w:val="21"/>
        </w:rPr>
        <w:t xml:space="preserve">The Councils on Chiropractic Education International (2010) </w:t>
      </w:r>
      <w:r w:rsidRPr="00677889">
        <w:rPr>
          <w:rFonts w:asciiTheme="minorHAnsi" w:hAnsiTheme="minorHAnsi" w:cstheme="minorHAnsi"/>
          <w:i/>
          <w:szCs w:val="21"/>
        </w:rPr>
        <w:t>Equivalence of the Accreditation Standards of CCEI Member Accrediting Bodies</w:t>
      </w:r>
      <w:r w:rsidRPr="00677889">
        <w:rPr>
          <w:rFonts w:asciiTheme="minorHAnsi" w:hAnsiTheme="minorHAnsi" w:cstheme="minorHAnsi"/>
          <w:szCs w:val="21"/>
        </w:rPr>
        <w:t xml:space="preserve">. Available at: </w:t>
      </w:r>
      <w:hyperlink r:id="rId64" w:history="1">
        <w:r w:rsidRPr="00677889">
          <w:rPr>
            <w:rStyle w:val="Hyperlink"/>
            <w:rFonts w:asciiTheme="minorHAnsi" w:hAnsiTheme="minorHAnsi" w:cstheme="minorHAnsi"/>
            <w:i w:val="0"/>
            <w:sz w:val="21"/>
            <w:szCs w:val="21"/>
          </w:rPr>
          <w:t>http://www.cceintl.org/uploads/2010-04-26CCEI_Statement_on_Equivalence_Updated_vfd_5_09.pdf</w:t>
        </w:r>
      </w:hyperlink>
      <w:r w:rsidRPr="00677889">
        <w:rPr>
          <w:rFonts w:asciiTheme="minorHAnsi" w:hAnsiTheme="minorHAnsi" w:cstheme="minorHAnsi"/>
          <w:szCs w:val="21"/>
        </w:rPr>
        <w:t>. Accessed: 12 January 2015.</w:t>
      </w:r>
    </w:p>
    <w:p w14:paraId="4B17573B" w14:textId="77777777" w:rsidR="004C1838" w:rsidRPr="00677889" w:rsidRDefault="004C1838" w:rsidP="004C1838">
      <w:pPr>
        <w:ind w:left="567" w:hanging="567"/>
        <w:rPr>
          <w:rFonts w:asciiTheme="minorHAnsi" w:hAnsiTheme="minorHAnsi" w:cstheme="minorHAnsi"/>
          <w:szCs w:val="21"/>
        </w:rPr>
      </w:pPr>
      <w:r w:rsidRPr="00677889">
        <w:rPr>
          <w:rFonts w:asciiTheme="minorHAnsi" w:hAnsiTheme="minorHAnsi" w:cstheme="minorHAnsi"/>
          <w:szCs w:val="21"/>
        </w:rPr>
        <w:t xml:space="preserve">The Councils on Chiropractic Education International (2012) </w:t>
      </w:r>
      <w:r w:rsidRPr="00677889">
        <w:rPr>
          <w:rFonts w:asciiTheme="minorHAnsi" w:hAnsiTheme="minorHAnsi" w:cstheme="minorHAnsi"/>
          <w:i/>
          <w:szCs w:val="21"/>
        </w:rPr>
        <w:t>Policy 2 - Standards Review</w:t>
      </w:r>
      <w:r w:rsidRPr="00677889">
        <w:rPr>
          <w:rFonts w:asciiTheme="minorHAnsi" w:hAnsiTheme="minorHAnsi" w:cstheme="minorHAnsi"/>
          <w:szCs w:val="21"/>
        </w:rPr>
        <w:t xml:space="preserve">. Retrieved from: </w:t>
      </w:r>
      <w:hyperlink r:id="rId65" w:history="1">
        <w:r w:rsidRPr="00677889">
          <w:rPr>
            <w:rStyle w:val="Hyperlink"/>
            <w:rFonts w:asciiTheme="minorHAnsi" w:hAnsiTheme="minorHAnsi" w:cstheme="minorHAnsi"/>
            <w:i w:val="0"/>
            <w:sz w:val="21"/>
            <w:szCs w:val="21"/>
          </w:rPr>
          <w:t>http://www.cceintl.org/uploads/Policy_2_Standards_Review_Vfd_604.pdf</w:t>
        </w:r>
      </w:hyperlink>
      <w:r w:rsidRPr="00677889">
        <w:rPr>
          <w:rFonts w:asciiTheme="minorHAnsi" w:hAnsiTheme="minorHAnsi" w:cstheme="minorHAnsi"/>
          <w:szCs w:val="21"/>
        </w:rPr>
        <w:t>. Accessed: 15 April 2015.</w:t>
      </w:r>
    </w:p>
    <w:p w14:paraId="597A58DC" w14:textId="77777777" w:rsidR="004C1838" w:rsidRPr="00677889" w:rsidRDefault="004C1838" w:rsidP="004C1838">
      <w:pPr>
        <w:ind w:left="567" w:hanging="567"/>
        <w:rPr>
          <w:rFonts w:asciiTheme="minorHAnsi" w:hAnsiTheme="minorHAnsi" w:cstheme="minorHAnsi"/>
          <w:szCs w:val="21"/>
        </w:rPr>
      </w:pPr>
      <w:r w:rsidRPr="00677889">
        <w:rPr>
          <w:rFonts w:asciiTheme="minorHAnsi" w:hAnsiTheme="minorHAnsi" w:cstheme="minorHAnsi"/>
          <w:szCs w:val="21"/>
        </w:rPr>
        <w:t xml:space="preserve">Department of Innovation, Industry, Science and Research (2010) </w:t>
      </w:r>
      <w:r w:rsidRPr="00677889">
        <w:rPr>
          <w:rFonts w:asciiTheme="minorHAnsi" w:hAnsiTheme="minorHAnsi" w:cstheme="minorHAnsi"/>
          <w:i/>
          <w:szCs w:val="21"/>
        </w:rPr>
        <w:t>Review of the Category 2 Research Income under the Higher Education Research Data Collection</w:t>
      </w:r>
      <w:r w:rsidRPr="00677889">
        <w:rPr>
          <w:rFonts w:asciiTheme="minorHAnsi" w:hAnsiTheme="minorHAnsi" w:cstheme="minorHAnsi"/>
          <w:szCs w:val="21"/>
        </w:rPr>
        <w:t xml:space="preserve">, Canberra. Retrieved from: </w:t>
      </w:r>
      <w:hyperlink r:id="rId66" w:history="1">
        <w:r w:rsidRPr="00677889">
          <w:rPr>
            <w:rStyle w:val="Hyperlink"/>
            <w:rFonts w:asciiTheme="minorHAnsi" w:hAnsiTheme="minorHAnsi" w:cstheme="minorHAnsi"/>
            <w:i w:val="0"/>
            <w:sz w:val="21"/>
            <w:szCs w:val="21"/>
          </w:rPr>
          <w:t>http://www.industry.gov.au/research/Documents/2010ReviewofCategory2Income.pdf</w:t>
        </w:r>
      </w:hyperlink>
      <w:r w:rsidRPr="00677889">
        <w:rPr>
          <w:rFonts w:asciiTheme="minorHAnsi" w:hAnsiTheme="minorHAnsi" w:cstheme="minorHAnsi"/>
          <w:szCs w:val="21"/>
        </w:rPr>
        <w:t>. Accessed: 15 April 2015.</w:t>
      </w:r>
    </w:p>
    <w:p w14:paraId="45AFD560" w14:textId="77777777" w:rsidR="004C1838" w:rsidRPr="00677889" w:rsidRDefault="004C1838" w:rsidP="004C1838">
      <w:pPr>
        <w:ind w:left="567" w:hanging="567"/>
        <w:rPr>
          <w:rFonts w:asciiTheme="minorHAnsi" w:hAnsiTheme="minorHAnsi" w:cstheme="minorHAnsi"/>
          <w:szCs w:val="21"/>
        </w:rPr>
      </w:pPr>
      <w:r w:rsidRPr="00677889">
        <w:rPr>
          <w:rFonts w:asciiTheme="minorHAnsi" w:hAnsiTheme="minorHAnsi" w:cstheme="minorHAnsi"/>
          <w:szCs w:val="21"/>
        </w:rPr>
        <w:t xml:space="preserve">Dow KL and Braithwaite V (2013) </w:t>
      </w:r>
      <w:r w:rsidRPr="00677889">
        <w:rPr>
          <w:rFonts w:asciiTheme="minorHAnsi" w:hAnsiTheme="minorHAnsi" w:cstheme="minorHAnsi"/>
          <w:i/>
          <w:szCs w:val="21"/>
        </w:rPr>
        <w:t>Review of higher education regulation report</w:t>
      </w:r>
      <w:r w:rsidRPr="00677889">
        <w:rPr>
          <w:rFonts w:asciiTheme="minorHAnsi" w:hAnsiTheme="minorHAnsi" w:cstheme="minorHAnsi"/>
          <w:szCs w:val="21"/>
        </w:rPr>
        <w:t xml:space="preserve">, Commonwealth of Australia. Retrieved from: </w:t>
      </w:r>
      <w:hyperlink r:id="rId67" w:history="1">
        <w:r w:rsidRPr="00677889">
          <w:rPr>
            <w:rStyle w:val="Hyperlink"/>
            <w:rFonts w:asciiTheme="minorHAnsi" w:hAnsiTheme="minorHAnsi" w:cstheme="minorHAnsi"/>
            <w:i w:val="0"/>
            <w:sz w:val="21"/>
            <w:szCs w:val="21"/>
          </w:rPr>
          <w:t>http://docs.education.gov.au/node/33587</w:t>
        </w:r>
      </w:hyperlink>
      <w:r w:rsidRPr="00677889">
        <w:rPr>
          <w:rFonts w:asciiTheme="minorHAnsi" w:hAnsiTheme="minorHAnsi" w:cstheme="minorHAnsi"/>
          <w:szCs w:val="21"/>
        </w:rPr>
        <w:t>. Accessed: 15 April 2015.</w:t>
      </w:r>
    </w:p>
    <w:p w14:paraId="05999B78" w14:textId="77777777" w:rsidR="004C1838" w:rsidRPr="00677889" w:rsidRDefault="004C1838" w:rsidP="004C1838">
      <w:pPr>
        <w:ind w:left="567" w:hanging="567"/>
        <w:rPr>
          <w:rFonts w:asciiTheme="minorHAnsi" w:hAnsiTheme="minorHAnsi" w:cstheme="minorHAnsi"/>
          <w:szCs w:val="21"/>
        </w:rPr>
      </w:pPr>
      <w:r w:rsidRPr="00677889">
        <w:rPr>
          <w:rFonts w:asciiTheme="minorHAnsi" w:hAnsiTheme="minorHAnsi" w:cstheme="minorHAnsi"/>
          <w:szCs w:val="21"/>
        </w:rPr>
        <w:lastRenderedPageBreak/>
        <w:t xml:space="preserve">European Council on Chiropractic Education (2014) </w:t>
      </w:r>
      <w:r w:rsidRPr="00677889">
        <w:rPr>
          <w:rFonts w:asciiTheme="minorHAnsi" w:hAnsiTheme="minorHAnsi" w:cstheme="minorHAnsi"/>
          <w:i/>
          <w:szCs w:val="21"/>
        </w:rPr>
        <w:t>Accreditation Procedures and Standards in First Qualification Chiropractic Education and Training, Version 4.3</w:t>
      </w:r>
      <w:r w:rsidRPr="00677889">
        <w:rPr>
          <w:rFonts w:asciiTheme="minorHAnsi" w:hAnsiTheme="minorHAnsi" w:cstheme="minorHAnsi"/>
          <w:szCs w:val="21"/>
        </w:rPr>
        <w:t xml:space="preserve">, December. Retrieved from: </w:t>
      </w:r>
      <w:hyperlink r:id="rId68" w:history="1">
        <w:r w:rsidRPr="00677889">
          <w:rPr>
            <w:rStyle w:val="Hyperlink"/>
            <w:rFonts w:asciiTheme="minorHAnsi" w:hAnsiTheme="minorHAnsi" w:cstheme="minorHAnsi"/>
            <w:i w:val="0"/>
            <w:sz w:val="21"/>
            <w:szCs w:val="21"/>
          </w:rPr>
          <w:t>http://www.cce-europe.com/downloads.html?file=tl_files/documents/documents/archive/Accreditation%20Procedures%20and%20Standards%20-%20December%202014%20-%20Version%204.3.pdf</w:t>
        </w:r>
      </w:hyperlink>
      <w:r w:rsidRPr="00677889">
        <w:rPr>
          <w:rFonts w:asciiTheme="minorHAnsi" w:hAnsiTheme="minorHAnsi" w:cstheme="minorHAnsi"/>
          <w:szCs w:val="21"/>
        </w:rPr>
        <w:t>.</w:t>
      </w:r>
    </w:p>
    <w:p w14:paraId="70EE0B08" w14:textId="77777777" w:rsidR="004C1838" w:rsidRPr="00677889" w:rsidRDefault="004C1838" w:rsidP="004C1838">
      <w:pPr>
        <w:ind w:left="567" w:hanging="567"/>
        <w:rPr>
          <w:rFonts w:asciiTheme="minorHAnsi" w:hAnsiTheme="minorHAnsi" w:cstheme="minorHAnsi"/>
          <w:szCs w:val="21"/>
        </w:rPr>
      </w:pPr>
      <w:r w:rsidRPr="00677889">
        <w:rPr>
          <w:rFonts w:asciiTheme="minorHAnsi" w:hAnsiTheme="minorHAnsi" w:cstheme="minorHAnsi"/>
          <w:szCs w:val="21"/>
        </w:rPr>
        <w:t xml:space="preserve">Forum of Australian Health Professions Councils and Australian Health Practitioner Regulation Agency (2012) </w:t>
      </w:r>
      <w:r w:rsidRPr="00677889">
        <w:rPr>
          <w:rFonts w:asciiTheme="minorHAnsi" w:hAnsiTheme="minorHAnsi" w:cstheme="minorHAnsi"/>
          <w:i/>
          <w:szCs w:val="21"/>
        </w:rPr>
        <w:t>Accreditation under the Health Practitioner Regulation National Law Act (the National Law)</w:t>
      </w:r>
      <w:r w:rsidRPr="00677889">
        <w:rPr>
          <w:rFonts w:asciiTheme="minorHAnsi" w:hAnsiTheme="minorHAnsi" w:cstheme="minorHAnsi"/>
          <w:szCs w:val="21"/>
        </w:rPr>
        <w:t xml:space="preserve">. Retrieved from: </w:t>
      </w:r>
      <w:hyperlink r:id="rId69" w:history="1">
        <w:r w:rsidRPr="00677889">
          <w:rPr>
            <w:rStyle w:val="Hyperlink"/>
            <w:rFonts w:asciiTheme="minorHAnsi" w:hAnsiTheme="minorHAnsi" w:cstheme="minorHAnsi"/>
            <w:i w:val="0"/>
            <w:sz w:val="21"/>
            <w:szCs w:val="21"/>
          </w:rPr>
          <w:t>http://www.ahpra.gov.au/Publications/Accreditation-publications.aspx</w:t>
        </w:r>
      </w:hyperlink>
      <w:r w:rsidRPr="00677889">
        <w:rPr>
          <w:rFonts w:asciiTheme="minorHAnsi" w:hAnsiTheme="minorHAnsi" w:cstheme="minorHAnsi"/>
          <w:szCs w:val="21"/>
        </w:rPr>
        <w:t>. Accessed: 15 January 2015.</w:t>
      </w:r>
    </w:p>
    <w:p w14:paraId="772A13D6" w14:textId="77777777" w:rsidR="004C1838" w:rsidRPr="00677889" w:rsidRDefault="004C1838" w:rsidP="004C1838">
      <w:pPr>
        <w:ind w:left="567" w:hanging="567"/>
        <w:rPr>
          <w:rFonts w:asciiTheme="minorHAnsi" w:hAnsiTheme="minorHAnsi" w:cstheme="minorHAnsi"/>
          <w:szCs w:val="21"/>
        </w:rPr>
      </w:pPr>
      <w:r w:rsidRPr="00677889">
        <w:rPr>
          <w:rFonts w:asciiTheme="minorHAnsi" w:hAnsiTheme="minorHAnsi" w:cstheme="minorHAnsi"/>
          <w:szCs w:val="21"/>
        </w:rPr>
        <w:t xml:space="preserve">Forum of Australian Health Professions Councils and Australian Health Practitioner Regulation Agency (2013) </w:t>
      </w:r>
      <w:r w:rsidRPr="00677889">
        <w:rPr>
          <w:rFonts w:asciiTheme="minorHAnsi" w:hAnsiTheme="minorHAnsi" w:cstheme="minorHAnsi"/>
          <w:i/>
          <w:szCs w:val="21"/>
        </w:rPr>
        <w:t>Quality framework for the accreditation function</w:t>
      </w:r>
      <w:r w:rsidRPr="00677889">
        <w:rPr>
          <w:rFonts w:asciiTheme="minorHAnsi" w:hAnsiTheme="minorHAnsi" w:cstheme="minorHAnsi"/>
          <w:szCs w:val="21"/>
        </w:rPr>
        <w:t xml:space="preserve">. Retrieved from: </w:t>
      </w:r>
      <w:hyperlink r:id="rId70" w:history="1">
        <w:r w:rsidRPr="00677889">
          <w:rPr>
            <w:rStyle w:val="Hyperlink"/>
            <w:rFonts w:asciiTheme="minorHAnsi" w:hAnsiTheme="minorHAnsi" w:cstheme="minorHAnsi"/>
            <w:i w:val="0"/>
            <w:sz w:val="21"/>
            <w:szCs w:val="21"/>
          </w:rPr>
          <w:t>http://www.ahpra.gov.au/Publications/Accreditation-publications.aspx</w:t>
        </w:r>
      </w:hyperlink>
      <w:r w:rsidRPr="00677889">
        <w:rPr>
          <w:rFonts w:asciiTheme="minorHAnsi" w:hAnsiTheme="minorHAnsi" w:cstheme="minorHAnsi"/>
          <w:szCs w:val="21"/>
        </w:rPr>
        <w:t>. Accessed: 15 January 2015.</w:t>
      </w:r>
    </w:p>
    <w:p w14:paraId="2447E22B" w14:textId="77777777" w:rsidR="004C1838" w:rsidRPr="00677889" w:rsidRDefault="004C1838" w:rsidP="004C1838">
      <w:pPr>
        <w:ind w:left="567" w:hanging="567"/>
        <w:rPr>
          <w:rFonts w:asciiTheme="minorHAnsi" w:hAnsiTheme="minorHAnsi" w:cstheme="minorHAnsi"/>
          <w:szCs w:val="21"/>
        </w:rPr>
      </w:pPr>
      <w:r w:rsidRPr="00677889">
        <w:rPr>
          <w:rFonts w:asciiTheme="minorHAnsi" w:hAnsiTheme="minorHAnsi" w:cstheme="minorHAnsi"/>
          <w:szCs w:val="21"/>
        </w:rPr>
        <w:t xml:space="preserve">Frank JR, Snell L, Shebiro J, (eds) (2015) </w:t>
      </w:r>
      <w:r w:rsidRPr="00677889">
        <w:rPr>
          <w:rFonts w:asciiTheme="minorHAnsi" w:hAnsiTheme="minorHAnsi" w:cstheme="minorHAnsi"/>
          <w:i/>
          <w:szCs w:val="21"/>
        </w:rPr>
        <w:t>The Draft CanMEDS 2015 Physician Competency Framework – Series 1V,</w:t>
      </w:r>
      <w:r w:rsidRPr="00677889">
        <w:rPr>
          <w:rFonts w:asciiTheme="minorHAnsi" w:hAnsiTheme="minorHAnsi" w:cstheme="minorHAnsi"/>
          <w:szCs w:val="21"/>
        </w:rPr>
        <w:t xml:space="preserve"> The Royal College of Physicians and Surgeons of Canada, Ottawa, March. Retrieved from: </w:t>
      </w:r>
      <w:hyperlink r:id="rId71" w:history="1">
        <w:r w:rsidRPr="00677889">
          <w:rPr>
            <w:rStyle w:val="Hyperlink"/>
            <w:rFonts w:asciiTheme="minorHAnsi" w:hAnsiTheme="minorHAnsi" w:cstheme="minorHAnsi"/>
            <w:i w:val="0"/>
            <w:sz w:val="21"/>
            <w:szCs w:val="21"/>
          </w:rPr>
          <w:t>http://www.royalcollege.ca/common/documents/canmeds/framework/canmeds2015_framework_series_IV_e.pdf</w:t>
        </w:r>
      </w:hyperlink>
      <w:r w:rsidRPr="00677889">
        <w:rPr>
          <w:rFonts w:asciiTheme="minorHAnsi" w:hAnsiTheme="minorHAnsi" w:cstheme="minorHAnsi"/>
          <w:i/>
          <w:szCs w:val="21"/>
        </w:rPr>
        <w:t xml:space="preserve">. </w:t>
      </w:r>
      <w:r w:rsidRPr="00677889">
        <w:rPr>
          <w:rFonts w:asciiTheme="minorHAnsi" w:hAnsiTheme="minorHAnsi" w:cstheme="minorHAnsi"/>
          <w:szCs w:val="21"/>
        </w:rPr>
        <w:t>Accessed: 16 April 2015.</w:t>
      </w:r>
    </w:p>
    <w:p w14:paraId="74BC54F9" w14:textId="77777777" w:rsidR="004C1838" w:rsidRPr="00677889" w:rsidRDefault="004C1838" w:rsidP="004C1838">
      <w:pPr>
        <w:ind w:left="567" w:hanging="567"/>
        <w:rPr>
          <w:rFonts w:asciiTheme="minorHAnsi" w:hAnsiTheme="minorHAnsi" w:cstheme="minorHAnsi"/>
          <w:szCs w:val="21"/>
        </w:rPr>
      </w:pPr>
      <w:r w:rsidRPr="00677889">
        <w:rPr>
          <w:rFonts w:asciiTheme="minorHAnsi" w:hAnsiTheme="minorHAnsi" w:cstheme="minorHAnsi"/>
          <w:szCs w:val="21"/>
        </w:rPr>
        <w:t xml:space="preserve">Governance institute of Australia (2015) </w:t>
      </w:r>
      <w:r w:rsidRPr="00677889">
        <w:rPr>
          <w:rFonts w:asciiTheme="minorHAnsi" w:hAnsiTheme="minorHAnsi" w:cstheme="minorHAnsi"/>
          <w:i/>
          <w:szCs w:val="21"/>
        </w:rPr>
        <w:t xml:space="preserve">Governance Foundations. </w:t>
      </w:r>
      <w:r w:rsidRPr="00677889">
        <w:rPr>
          <w:rFonts w:asciiTheme="minorHAnsi" w:hAnsiTheme="minorHAnsi" w:cstheme="minorHAnsi"/>
          <w:szCs w:val="21"/>
        </w:rPr>
        <w:t>Retrieved from:</w:t>
      </w:r>
      <w:r w:rsidRPr="00677889">
        <w:rPr>
          <w:rFonts w:asciiTheme="minorHAnsi" w:hAnsiTheme="minorHAnsi" w:cstheme="minorHAnsi"/>
          <w:i/>
          <w:szCs w:val="21"/>
        </w:rPr>
        <w:t xml:space="preserve"> </w:t>
      </w:r>
      <w:hyperlink r:id="rId72" w:history="1">
        <w:r w:rsidRPr="00677889">
          <w:rPr>
            <w:rStyle w:val="Hyperlink"/>
            <w:rFonts w:asciiTheme="minorHAnsi" w:hAnsiTheme="minorHAnsi" w:cstheme="minorHAnsi"/>
            <w:i w:val="0"/>
            <w:sz w:val="21"/>
            <w:szCs w:val="21"/>
          </w:rPr>
          <w:t>http://www.governanceinstitute.com.au/knowledge-resources/governance-foundations/</w:t>
        </w:r>
      </w:hyperlink>
      <w:r w:rsidRPr="00677889">
        <w:rPr>
          <w:rFonts w:asciiTheme="minorHAnsi" w:hAnsiTheme="minorHAnsi" w:cstheme="minorHAnsi"/>
          <w:i/>
          <w:szCs w:val="21"/>
        </w:rPr>
        <w:t xml:space="preserve">. </w:t>
      </w:r>
      <w:r w:rsidRPr="00677889">
        <w:rPr>
          <w:rFonts w:asciiTheme="minorHAnsi" w:hAnsiTheme="minorHAnsi" w:cstheme="minorHAnsi"/>
          <w:szCs w:val="21"/>
        </w:rPr>
        <w:t>Accessed: 6 October 2015.</w:t>
      </w:r>
    </w:p>
    <w:p w14:paraId="7814CDFD" w14:textId="77777777" w:rsidR="004C1838" w:rsidRPr="00677889" w:rsidRDefault="004C1838" w:rsidP="004C1838">
      <w:pPr>
        <w:ind w:left="567" w:hanging="567"/>
        <w:rPr>
          <w:rFonts w:asciiTheme="minorHAnsi" w:hAnsiTheme="minorHAnsi" w:cstheme="minorHAnsi"/>
          <w:szCs w:val="21"/>
        </w:rPr>
      </w:pPr>
      <w:r w:rsidRPr="00677889">
        <w:rPr>
          <w:rFonts w:asciiTheme="minorHAnsi" w:hAnsiTheme="minorHAnsi" w:cstheme="minorHAnsi"/>
          <w:i/>
          <w:szCs w:val="21"/>
        </w:rPr>
        <w:t>Health Practitioner Regulation National Law Act 2009</w:t>
      </w:r>
      <w:r w:rsidRPr="00677889">
        <w:rPr>
          <w:rFonts w:asciiTheme="minorHAnsi" w:hAnsiTheme="minorHAnsi" w:cstheme="minorHAnsi"/>
          <w:szCs w:val="21"/>
        </w:rPr>
        <w:t xml:space="preserve"> as in force in each state and territory (the National Law). Retrieved from: </w:t>
      </w:r>
      <w:hyperlink r:id="rId73" w:history="1">
        <w:r w:rsidRPr="00677889">
          <w:rPr>
            <w:rStyle w:val="Hyperlink"/>
            <w:rFonts w:asciiTheme="minorHAnsi" w:hAnsiTheme="minorHAnsi" w:cstheme="minorHAnsi"/>
            <w:i w:val="0"/>
            <w:sz w:val="21"/>
            <w:szCs w:val="21"/>
          </w:rPr>
          <w:t>http://www.ahpra.gov.au/About-AHPRA/What-We-Do/Legislation.aspx</w:t>
        </w:r>
      </w:hyperlink>
      <w:r w:rsidRPr="00677889">
        <w:rPr>
          <w:rFonts w:asciiTheme="minorHAnsi" w:hAnsiTheme="minorHAnsi" w:cstheme="minorHAnsi"/>
          <w:szCs w:val="21"/>
        </w:rPr>
        <w:t>. Accessed: 10 April 2015.</w:t>
      </w:r>
    </w:p>
    <w:p w14:paraId="512F54BA" w14:textId="77777777" w:rsidR="004C1838" w:rsidRPr="00677889" w:rsidRDefault="004C1838" w:rsidP="004C1838">
      <w:pPr>
        <w:ind w:left="567" w:hanging="567"/>
        <w:rPr>
          <w:rFonts w:asciiTheme="minorHAnsi" w:hAnsiTheme="minorHAnsi" w:cstheme="minorHAnsi"/>
          <w:szCs w:val="21"/>
        </w:rPr>
      </w:pPr>
      <w:r w:rsidRPr="00677889">
        <w:rPr>
          <w:rFonts w:asciiTheme="minorHAnsi" w:hAnsiTheme="minorHAnsi" w:cstheme="minorHAnsi"/>
          <w:szCs w:val="21"/>
        </w:rPr>
        <w:t xml:space="preserve">Health Workforce Australia (2014) Simulated learning web search results. Retrieved from: </w:t>
      </w:r>
      <w:hyperlink r:id="rId74" w:history="1">
        <w:r w:rsidRPr="00677889">
          <w:rPr>
            <w:rStyle w:val="Hyperlink"/>
            <w:rFonts w:asciiTheme="minorHAnsi" w:hAnsiTheme="minorHAnsi" w:cstheme="minorHAnsi"/>
            <w:i w:val="0"/>
            <w:sz w:val="21"/>
            <w:szCs w:val="21"/>
          </w:rPr>
          <w:t>https://www.hwa.gov.au/search/node/simulation</w:t>
        </w:r>
      </w:hyperlink>
      <w:r w:rsidRPr="00677889">
        <w:rPr>
          <w:rFonts w:asciiTheme="minorHAnsi" w:hAnsiTheme="minorHAnsi" w:cstheme="minorHAnsi"/>
          <w:szCs w:val="21"/>
        </w:rPr>
        <w:t>. Accessed: 29 April 2015.</w:t>
      </w:r>
    </w:p>
    <w:p w14:paraId="1FD23A1D" w14:textId="77777777" w:rsidR="004C1838" w:rsidRPr="00677889" w:rsidRDefault="004C1838" w:rsidP="004C1838">
      <w:pPr>
        <w:ind w:left="567" w:hanging="567"/>
        <w:rPr>
          <w:rFonts w:asciiTheme="minorHAnsi" w:hAnsiTheme="minorHAnsi" w:cstheme="minorHAnsi"/>
          <w:szCs w:val="21"/>
        </w:rPr>
      </w:pPr>
      <w:r w:rsidRPr="00677889">
        <w:rPr>
          <w:rFonts w:asciiTheme="minorHAnsi" w:hAnsiTheme="minorHAnsi" w:cstheme="minorHAnsi"/>
          <w:szCs w:val="21"/>
        </w:rPr>
        <w:t xml:space="preserve">Higher Education Standards Panel (2014) </w:t>
      </w:r>
      <w:r w:rsidRPr="00677889">
        <w:rPr>
          <w:rFonts w:asciiTheme="minorHAnsi" w:hAnsiTheme="minorHAnsi" w:cstheme="minorHAnsi"/>
          <w:i/>
          <w:szCs w:val="21"/>
        </w:rPr>
        <w:t>Final Proposed Higher Education Standards Framework (The Framework)</w:t>
      </w:r>
      <w:r w:rsidRPr="00677889">
        <w:rPr>
          <w:rFonts w:asciiTheme="minorHAnsi" w:hAnsiTheme="minorHAnsi" w:cstheme="minorHAnsi"/>
          <w:szCs w:val="21"/>
        </w:rPr>
        <w:t xml:space="preserve">. Retrieved at: </w:t>
      </w:r>
      <w:hyperlink r:id="rId75" w:history="1">
        <w:r w:rsidRPr="00677889">
          <w:rPr>
            <w:rStyle w:val="Hyperlink"/>
            <w:rFonts w:asciiTheme="minorHAnsi" w:hAnsiTheme="minorHAnsi" w:cstheme="minorHAnsi"/>
            <w:i w:val="0"/>
            <w:sz w:val="21"/>
            <w:szCs w:val="21"/>
          </w:rPr>
          <w:t>http://www.hestandards.gov.au/final-proposed-framework</w:t>
        </w:r>
      </w:hyperlink>
      <w:r w:rsidRPr="00677889">
        <w:rPr>
          <w:rFonts w:asciiTheme="minorHAnsi" w:hAnsiTheme="minorHAnsi" w:cstheme="minorHAnsi"/>
          <w:i/>
          <w:szCs w:val="21"/>
        </w:rPr>
        <w:t xml:space="preserve">.  </w:t>
      </w:r>
      <w:r w:rsidRPr="00677889">
        <w:rPr>
          <w:rFonts w:asciiTheme="minorHAnsi" w:hAnsiTheme="minorHAnsi" w:cstheme="minorHAnsi"/>
          <w:szCs w:val="21"/>
        </w:rPr>
        <w:t>Accessed: 12 April 2015.</w:t>
      </w:r>
    </w:p>
    <w:p w14:paraId="5F0C3C81" w14:textId="77777777" w:rsidR="004C1838" w:rsidRPr="00677889" w:rsidRDefault="004C1838" w:rsidP="004C1838">
      <w:pPr>
        <w:ind w:left="567" w:hanging="567"/>
        <w:rPr>
          <w:rFonts w:asciiTheme="minorHAnsi" w:hAnsiTheme="minorHAnsi" w:cstheme="minorHAnsi"/>
          <w:szCs w:val="21"/>
        </w:rPr>
      </w:pPr>
      <w:r w:rsidRPr="00677889">
        <w:rPr>
          <w:rFonts w:asciiTheme="minorHAnsi" w:hAnsiTheme="minorHAnsi" w:cstheme="minorHAnsi"/>
          <w:i/>
          <w:szCs w:val="21"/>
        </w:rPr>
        <w:t xml:space="preserve">Higher Education Threshold Standards (Threshold Standards) 2011 </w:t>
      </w:r>
      <w:r w:rsidRPr="00677889">
        <w:rPr>
          <w:rFonts w:asciiTheme="minorHAnsi" w:hAnsiTheme="minorHAnsi" w:cstheme="minorHAnsi"/>
          <w:szCs w:val="21"/>
        </w:rPr>
        <w:t xml:space="preserve">as amended. Retrieved from: </w:t>
      </w:r>
      <w:hyperlink r:id="rId76" w:history="1">
        <w:r w:rsidRPr="00677889">
          <w:rPr>
            <w:rStyle w:val="Hyperlink"/>
            <w:rFonts w:asciiTheme="minorHAnsi" w:hAnsiTheme="minorHAnsi" w:cstheme="minorHAnsi"/>
            <w:i w:val="0"/>
            <w:sz w:val="21"/>
            <w:szCs w:val="21"/>
          </w:rPr>
          <w:t>http://www.comlaw.gov.au/Details/F2013C00169/abf13114-80e5-424e-8058-77b8d62969e6</w:t>
        </w:r>
      </w:hyperlink>
      <w:r w:rsidRPr="00677889">
        <w:rPr>
          <w:rFonts w:asciiTheme="minorHAnsi" w:hAnsiTheme="minorHAnsi" w:cstheme="minorHAnsi"/>
          <w:szCs w:val="21"/>
        </w:rPr>
        <w:t>. Accessed: 12 April 2015.</w:t>
      </w:r>
    </w:p>
    <w:p w14:paraId="737A1620" w14:textId="77777777" w:rsidR="004C1838" w:rsidRPr="00677889" w:rsidRDefault="004C1838" w:rsidP="004C1838">
      <w:pPr>
        <w:ind w:left="567" w:hanging="567"/>
        <w:rPr>
          <w:rFonts w:asciiTheme="minorHAnsi" w:hAnsiTheme="minorHAnsi" w:cstheme="minorHAnsi"/>
          <w:szCs w:val="21"/>
        </w:rPr>
      </w:pPr>
      <w:r w:rsidRPr="00677889">
        <w:rPr>
          <w:rFonts w:asciiTheme="minorHAnsi" w:hAnsiTheme="minorHAnsi" w:cstheme="minorHAnsi"/>
          <w:szCs w:val="21"/>
        </w:rPr>
        <w:t>Innes SI, Leboeuf C, Walker BF (2016) ‘Similarities and differences of graduate entry-level competencies of chiropractic councils on education: a systematic review’, 24 (1)</w:t>
      </w:r>
      <w:r w:rsidRPr="00677889">
        <w:rPr>
          <w:rFonts w:asciiTheme="minorHAnsi" w:hAnsiTheme="minorHAnsi" w:cstheme="minorHAnsi"/>
          <w:i/>
          <w:szCs w:val="21"/>
        </w:rPr>
        <w:t xml:space="preserve"> Chiropractic and Manual Therapies</w:t>
      </w:r>
      <w:r w:rsidRPr="00677889">
        <w:rPr>
          <w:rFonts w:asciiTheme="minorHAnsi" w:hAnsiTheme="minorHAnsi" w:cstheme="minorHAnsi"/>
          <w:b/>
          <w:szCs w:val="21"/>
        </w:rPr>
        <w:t xml:space="preserve">. </w:t>
      </w:r>
      <w:r w:rsidRPr="00677889">
        <w:rPr>
          <w:rStyle w:val="Strong"/>
          <w:rFonts w:asciiTheme="minorHAnsi" w:eastAsia="Arial Unicode MS" w:hAnsiTheme="minorHAnsi" w:cstheme="minorHAnsi"/>
          <w:b w:val="0"/>
        </w:rPr>
        <w:t>DOI</w:t>
      </w:r>
      <w:r w:rsidRPr="00677889">
        <w:rPr>
          <w:rStyle w:val="Strong"/>
          <w:rFonts w:asciiTheme="minorHAnsi" w:eastAsia="Arial Unicode MS" w:hAnsiTheme="minorHAnsi" w:cstheme="minorHAnsi"/>
        </w:rPr>
        <w:t xml:space="preserve">: </w:t>
      </w:r>
      <w:r w:rsidRPr="00677889">
        <w:rPr>
          <w:rFonts w:asciiTheme="minorHAnsi" w:hAnsiTheme="minorHAnsi" w:cstheme="minorHAnsi"/>
          <w:szCs w:val="21"/>
        </w:rPr>
        <w:t>10.1186/s12998-016-0084-0</w:t>
      </w:r>
      <w:r w:rsidRPr="00677889">
        <w:rPr>
          <w:rFonts w:asciiTheme="minorHAnsi" w:hAnsiTheme="minorHAnsi" w:cstheme="minorHAnsi"/>
          <w:i/>
          <w:szCs w:val="21"/>
        </w:rPr>
        <w:t>.</w:t>
      </w:r>
      <w:r w:rsidRPr="00677889">
        <w:rPr>
          <w:rFonts w:asciiTheme="minorHAnsi" w:hAnsiTheme="minorHAnsi" w:cstheme="minorHAnsi"/>
          <w:szCs w:val="21"/>
        </w:rPr>
        <w:t xml:space="preserve"> Retrieved from: </w:t>
      </w:r>
      <w:hyperlink r:id="rId77" w:history="1">
        <w:r w:rsidRPr="00677889">
          <w:rPr>
            <w:rStyle w:val="Hyperlink"/>
            <w:rFonts w:asciiTheme="minorHAnsi" w:eastAsia="Arial Unicode MS" w:hAnsiTheme="minorHAnsi" w:cstheme="minorHAnsi"/>
            <w:i w:val="0"/>
            <w:sz w:val="21"/>
            <w:szCs w:val="21"/>
            <w:lang w:val="en-US"/>
          </w:rPr>
          <w:t>http://chiromt.biomedcentral.com/articles/10.1186/s12998-016-0084-0</w:t>
        </w:r>
      </w:hyperlink>
      <w:r w:rsidRPr="00677889">
        <w:rPr>
          <w:rFonts w:asciiTheme="minorHAnsi" w:hAnsiTheme="minorHAnsi" w:cstheme="minorHAnsi"/>
          <w:szCs w:val="21"/>
        </w:rPr>
        <w:t>. Accessed: 19 February 2016.</w:t>
      </w:r>
    </w:p>
    <w:p w14:paraId="2DAFADBB" w14:textId="77777777" w:rsidR="004C1838" w:rsidRPr="00677889" w:rsidRDefault="004C1838" w:rsidP="004C1838">
      <w:pPr>
        <w:ind w:left="567" w:hanging="567"/>
        <w:rPr>
          <w:rFonts w:asciiTheme="minorHAnsi" w:hAnsiTheme="minorHAnsi" w:cstheme="minorHAnsi"/>
          <w:szCs w:val="21"/>
        </w:rPr>
      </w:pPr>
      <w:r w:rsidRPr="00677889">
        <w:rPr>
          <w:rFonts w:asciiTheme="minorHAnsi" w:hAnsiTheme="minorHAnsi" w:cstheme="minorHAnsi"/>
          <w:szCs w:val="21"/>
        </w:rPr>
        <w:lastRenderedPageBreak/>
        <w:t xml:space="preserve">Institute for Alternative Futures (2005) </w:t>
      </w:r>
      <w:r w:rsidRPr="00677889">
        <w:rPr>
          <w:rFonts w:asciiTheme="minorHAnsi" w:hAnsiTheme="minorHAnsi" w:cstheme="minorHAnsi"/>
          <w:i/>
          <w:szCs w:val="21"/>
        </w:rPr>
        <w:t>The Future of Chiropractic Revisited: 2005 to 2015</w:t>
      </w:r>
      <w:r w:rsidRPr="00677889">
        <w:rPr>
          <w:rFonts w:asciiTheme="minorHAnsi" w:hAnsiTheme="minorHAnsi" w:cstheme="minorHAnsi"/>
          <w:szCs w:val="21"/>
        </w:rPr>
        <w:t xml:space="preserve">. Retrieved at: </w:t>
      </w:r>
      <w:hyperlink r:id="rId78" w:history="1">
        <w:r w:rsidRPr="00677889">
          <w:rPr>
            <w:rStyle w:val="Hyperlink"/>
            <w:rFonts w:asciiTheme="minorHAnsi" w:hAnsiTheme="minorHAnsi" w:cstheme="minorHAnsi"/>
            <w:i w:val="0"/>
            <w:sz w:val="21"/>
            <w:szCs w:val="21"/>
          </w:rPr>
          <w:t>http://www.altfutures.org/pubs/health/Future%20of%20Chiropractic%20Revisted%20v1.pdf</w:t>
        </w:r>
      </w:hyperlink>
      <w:r w:rsidRPr="00677889">
        <w:rPr>
          <w:rFonts w:asciiTheme="minorHAnsi" w:hAnsiTheme="minorHAnsi" w:cstheme="minorHAnsi"/>
          <w:szCs w:val="21"/>
        </w:rPr>
        <w:t xml:space="preserve">. Accessed: 10 March 2015. </w:t>
      </w:r>
    </w:p>
    <w:p w14:paraId="47A8AC2F" w14:textId="77777777" w:rsidR="004C1838" w:rsidRPr="00677889" w:rsidRDefault="004C1838" w:rsidP="004C1838">
      <w:pPr>
        <w:ind w:left="567" w:hanging="567"/>
        <w:rPr>
          <w:rFonts w:asciiTheme="minorHAnsi" w:hAnsiTheme="minorHAnsi" w:cstheme="minorHAnsi"/>
          <w:szCs w:val="21"/>
        </w:rPr>
      </w:pPr>
      <w:r w:rsidRPr="00677889">
        <w:rPr>
          <w:rFonts w:asciiTheme="minorHAnsi" w:hAnsiTheme="minorHAnsi" w:cstheme="minorHAnsi"/>
          <w:szCs w:val="21"/>
        </w:rPr>
        <w:t xml:space="preserve">International Network for Quality Assurance Agencies in Higher Education (2007) </w:t>
      </w:r>
      <w:r w:rsidRPr="00677889">
        <w:rPr>
          <w:rFonts w:asciiTheme="minorHAnsi" w:hAnsiTheme="minorHAnsi" w:cstheme="minorHAnsi"/>
          <w:i/>
          <w:szCs w:val="21"/>
        </w:rPr>
        <w:t>Guidelines for good practice in quality assurance</w:t>
      </w:r>
      <w:r w:rsidRPr="00677889">
        <w:rPr>
          <w:rFonts w:asciiTheme="minorHAnsi" w:hAnsiTheme="minorHAnsi" w:cstheme="minorHAnsi"/>
          <w:szCs w:val="21"/>
        </w:rPr>
        <w:t>. Retrieved at: http://www.inqaahe.org/admin/files/assets/subsites/1/documenten/1231430767_inqaahe---guidelines-of-good-practice[1].pdf.</w:t>
      </w:r>
    </w:p>
    <w:p w14:paraId="2CE26B54" w14:textId="77777777" w:rsidR="004C1838" w:rsidRPr="00677889" w:rsidRDefault="004C1838" w:rsidP="004C1838">
      <w:pPr>
        <w:ind w:left="567" w:hanging="567"/>
        <w:rPr>
          <w:rFonts w:asciiTheme="minorHAnsi" w:hAnsiTheme="minorHAnsi" w:cstheme="minorHAnsi"/>
          <w:szCs w:val="21"/>
        </w:rPr>
      </w:pPr>
      <w:r w:rsidRPr="00677889">
        <w:rPr>
          <w:rFonts w:asciiTheme="minorHAnsi" w:hAnsiTheme="minorHAnsi" w:cstheme="minorHAnsi"/>
          <w:szCs w:val="21"/>
        </w:rPr>
        <w:t xml:space="preserve">JustHealth Consultants (2014) </w:t>
      </w:r>
      <w:r w:rsidRPr="00677889">
        <w:rPr>
          <w:rFonts w:asciiTheme="minorHAnsi" w:hAnsiTheme="minorHAnsi" w:cstheme="minorHAnsi"/>
          <w:i/>
          <w:szCs w:val="21"/>
        </w:rPr>
        <w:t>Background research and consultation to inform the review of pharmacy competency standards: Consultation Paper for the Pharmacy Practitioner Development Committee</w:t>
      </w:r>
      <w:r w:rsidRPr="00677889">
        <w:rPr>
          <w:rFonts w:asciiTheme="minorHAnsi" w:hAnsiTheme="minorHAnsi" w:cstheme="minorHAnsi"/>
          <w:szCs w:val="21"/>
        </w:rPr>
        <w:t xml:space="preserve">, 19 December. Australian Healthcare and Hospitals Association. Retrieved from: </w:t>
      </w:r>
      <w:hyperlink r:id="rId79" w:history="1">
        <w:r w:rsidRPr="00677889">
          <w:rPr>
            <w:rStyle w:val="Hyperlink"/>
            <w:rFonts w:asciiTheme="minorHAnsi" w:hAnsiTheme="minorHAnsi" w:cstheme="minorHAnsi"/>
            <w:i w:val="0"/>
            <w:sz w:val="21"/>
            <w:szCs w:val="21"/>
          </w:rPr>
          <w:t>https://ahha.asn.au/sites/default/files/docs/page/consultation_paper_for_publication_revised_19.12.14_0.pdf</w:t>
        </w:r>
      </w:hyperlink>
      <w:r w:rsidRPr="00677889">
        <w:rPr>
          <w:rFonts w:asciiTheme="minorHAnsi" w:hAnsiTheme="minorHAnsi" w:cstheme="minorHAnsi"/>
          <w:szCs w:val="21"/>
        </w:rPr>
        <w:t>. Accessed: 14 January 2015.</w:t>
      </w:r>
    </w:p>
    <w:p w14:paraId="053C50B5" w14:textId="77777777" w:rsidR="004C1838" w:rsidRPr="00677889" w:rsidRDefault="004C1838" w:rsidP="004C1838">
      <w:pPr>
        <w:ind w:left="567" w:hanging="567"/>
        <w:rPr>
          <w:rFonts w:asciiTheme="minorHAnsi" w:hAnsiTheme="minorHAnsi" w:cstheme="minorHAnsi"/>
          <w:szCs w:val="21"/>
        </w:rPr>
      </w:pPr>
      <w:r w:rsidRPr="00677889">
        <w:rPr>
          <w:rFonts w:asciiTheme="minorHAnsi" w:hAnsiTheme="minorHAnsi" w:cstheme="minorHAnsi"/>
          <w:szCs w:val="21"/>
        </w:rPr>
        <w:t xml:space="preserve">Kaptchuk TJ and Eisenberg DM (1998) ‘Chiropractic: Origins, Controversies and Contributions’, 158 </w:t>
      </w:r>
      <w:r w:rsidRPr="00677889">
        <w:rPr>
          <w:rFonts w:asciiTheme="minorHAnsi" w:hAnsiTheme="minorHAnsi" w:cstheme="minorHAnsi"/>
          <w:i/>
          <w:szCs w:val="21"/>
        </w:rPr>
        <w:t>Arch Intern Med</w:t>
      </w:r>
      <w:r w:rsidRPr="00677889">
        <w:rPr>
          <w:rFonts w:asciiTheme="minorHAnsi" w:hAnsiTheme="minorHAnsi" w:cstheme="minorHAnsi"/>
          <w:szCs w:val="21"/>
        </w:rPr>
        <w:t>, 9 November, 2215-2224.</w:t>
      </w:r>
    </w:p>
    <w:p w14:paraId="75F0E566" w14:textId="77777777" w:rsidR="00AB2B92" w:rsidRPr="00677889" w:rsidRDefault="00AB2B92" w:rsidP="00AB2B92">
      <w:pPr>
        <w:ind w:left="567" w:hanging="567"/>
        <w:rPr>
          <w:rFonts w:asciiTheme="minorHAnsi" w:hAnsiTheme="minorHAnsi" w:cstheme="minorHAnsi"/>
          <w:szCs w:val="21"/>
        </w:rPr>
      </w:pPr>
      <w:r w:rsidRPr="00677889">
        <w:rPr>
          <w:rFonts w:asciiTheme="minorHAnsi" w:hAnsiTheme="minorHAnsi" w:cstheme="minorHAnsi"/>
          <w:szCs w:val="21"/>
          <w:lang w:val="en-US"/>
        </w:rPr>
        <w:t xml:space="preserve">Knaus SJ, </w:t>
      </w:r>
      <w:r w:rsidRPr="00677889">
        <w:rPr>
          <w:rFonts w:asciiTheme="minorHAnsi" w:hAnsiTheme="minorHAnsi" w:cstheme="minorHAnsi"/>
          <w:i/>
          <w:szCs w:val="21"/>
          <w:lang w:val="en-US"/>
        </w:rPr>
        <w:t>et al</w:t>
      </w:r>
      <w:r w:rsidRPr="00677889">
        <w:rPr>
          <w:rFonts w:asciiTheme="minorHAnsi" w:hAnsiTheme="minorHAnsi" w:cstheme="minorHAnsi"/>
          <w:szCs w:val="21"/>
          <w:lang w:val="en-US"/>
        </w:rPr>
        <w:t xml:space="preserve"> (2016) ‘</w:t>
      </w:r>
      <w:r w:rsidRPr="00677889">
        <w:rPr>
          <w:rFonts w:asciiTheme="minorHAnsi" w:hAnsiTheme="minorHAnsi" w:cstheme="minorHAnsi"/>
          <w:iCs/>
          <w:szCs w:val="21"/>
          <w:lang w:val="en-US"/>
        </w:rPr>
        <w:t>Impact of Evidence-Based Guidelines on Outcomes of Hospitalized Patients’</w:t>
      </w:r>
      <w:r w:rsidRPr="00677889">
        <w:rPr>
          <w:rFonts w:asciiTheme="minorHAnsi" w:hAnsiTheme="minorHAnsi" w:cstheme="minorHAnsi"/>
          <w:szCs w:val="21"/>
          <w:lang w:val="en-US"/>
        </w:rPr>
        <w:t xml:space="preserve"> </w:t>
      </w:r>
      <w:r w:rsidRPr="00677889">
        <w:rPr>
          <w:rFonts w:asciiTheme="minorHAnsi" w:hAnsiTheme="minorHAnsi" w:cstheme="minorHAnsi"/>
          <w:bCs/>
          <w:szCs w:val="21"/>
          <w:lang w:val="en-US"/>
        </w:rPr>
        <w:t>109</w:t>
      </w:r>
      <w:r w:rsidRPr="00677889">
        <w:rPr>
          <w:rFonts w:asciiTheme="minorHAnsi" w:hAnsiTheme="minorHAnsi" w:cstheme="minorHAnsi"/>
          <w:szCs w:val="21"/>
          <w:lang w:val="en-US"/>
        </w:rPr>
        <w:t xml:space="preserve">(3) </w:t>
      </w:r>
      <w:r w:rsidRPr="00677889">
        <w:rPr>
          <w:rFonts w:asciiTheme="minorHAnsi" w:hAnsiTheme="minorHAnsi" w:cstheme="minorHAnsi"/>
          <w:i/>
          <w:szCs w:val="21"/>
          <w:lang w:val="en-US"/>
        </w:rPr>
        <w:t>South Med J</w:t>
      </w:r>
      <w:r w:rsidRPr="00677889">
        <w:rPr>
          <w:rFonts w:asciiTheme="minorHAnsi" w:hAnsiTheme="minorHAnsi" w:cstheme="minorHAnsi"/>
          <w:szCs w:val="21"/>
          <w:lang w:val="en-US"/>
        </w:rPr>
        <w:t>, 144-50.</w:t>
      </w:r>
    </w:p>
    <w:p w14:paraId="359D7C5B" w14:textId="77777777" w:rsidR="00AB2B92" w:rsidRPr="00677889" w:rsidRDefault="00AB2B92" w:rsidP="00AB2B92">
      <w:pPr>
        <w:ind w:left="567" w:hanging="567"/>
        <w:rPr>
          <w:rFonts w:asciiTheme="minorHAnsi" w:hAnsiTheme="minorHAnsi" w:cstheme="minorHAnsi"/>
          <w:szCs w:val="21"/>
        </w:rPr>
      </w:pPr>
      <w:r w:rsidRPr="00677889">
        <w:rPr>
          <w:rFonts w:asciiTheme="minorHAnsi" w:hAnsiTheme="minorHAnsi" w:cstheme="minorHAnsi"/>
          <w:szCs w:val="21"/>
        </w:rPr>
        <w:t xml:space="preserve">McEvoy MP, </w:t>
      </w:r>
      <w:r w:rsidRPr="00677889">
        <w:rPr>
          <w:rFonts w:asciiTheme="minorHAnsi" w:hAnsiTheme="minorHAnsi" w:cstheme="minorHAnsi"/>
          <w:i/>
          <w:szCs w:val="21"/>
        </w:rPr>
        <w:t>et al</w:t>
      </w:r>
      <w:r w:rsidRPr="00677889">
        <w:rPr>
          <w:rFonts w:asciiTheme="minorHAnsi" w:hAnsiTheme="minorHAnsi" w:cstheme="minorHAnsi"/>
          <w:szCs w:val="21"/>
        </w:rPr>
        <w:t xml:space="preserve"> (2016) ‘</w:t>
      </w:r>
      <w:r w:rsidRPr="00677889">
        <w:rPr>
          <w:rFonts w:asciiTheme="minorHAnsi" w:hAnsiTheme="minorHAnsi" w:cstheme="minorHAnsi"/>
          <w:iCs/>
          <w:szCs w:val="21"/>
        </w:rPr>
        <w:t>How Comprehensively Is Evidence-Based Practice Represented in Australian Health Professional Accreditation Documents? A Systematic Audit’,</w:t>
      </w:r>
      <w:r w:rsidRPr="00677889">
        <w:rPr>
          <w:rFonts w:asciiTheme="minorHAnsi" w:hAnsiTheme="minorHAnsi" w:cstheme="minorHAnsi"/>
          <w:szCs w:val="21"/>
        </w:rPr>
        <w:t xml:space="preserve"> </w:t>
      </w:r>
      <w:r w:rsidRPr="00677889">
        <w:rPr>
          <w:rFonts w:asciiTheme="minorHAnsi" w:hAnsiTheme="minorHAnsi" w:cstheme="minorHAnsi"/>
          <w:bCs/>
          <w:szCs w:val="21"/>
        </w:rPr>
        <w:t>28</w:t>
      </w:r>
      <w:r w:rsidRPr="00677889">
        <w:rPr>
          <w:rFonts w:asciiTheme="minorHAnsi" w:hAnsiTheme="minorHAnsi" w:cstheme="minorHAnsi"/>
          <w:szCs w:val="21"/>
        </w:rPr>
        <w:t xml:space="preserve">(1) </w:t>
      </w:r>
      <w:r w:rsidRPr="00677889">
        <w:rPr>
          <w:rFonts w:asciiTheme="minorHAnsi" w:hAnsiTheme="minorHAnsi" w:cstheme="minorHAnsi"/>
          <w:i/>
          <w:szCs w:val="21"/>
        </w:rPr>
        <w:t>Teach Learn Med</w:t>
      </w:r>
      <w:r w:rsidRPr="00677889">
        <w:rPr>
          <w:rFonts w:asciiTheme="minorHAnsi" w:hAnsiTheme="minorHAnsi" w:cstheme="minorHAnsi"/>
          <w:szCs w:val="21"/>
        </w:rPr>
        <w:t>, 26-34.</w:t>
      </w:r>
    </w:p>
    <w:p w14:paraId="75B88419" w14:textId="77777777" w:rsidR="004C1838" w:rsidRPr="00677889" w:rsidRDefault="004C1838" w:rsidP="004C1838">
      <w:pPr>
        <w:ind w:left="567" w:hanging="567"/>
        <w:rPr>
          <w:rFonts w:asciiTheme="minorHAnsi" w:hAnsiTheme="minorHAnsi" w:cstheme="minorHAnsi"/>
          <w:szCs w:val="21"/>
        </w:rPr>
      </w:pPr>
      <w:r w:rsidRPr="00677889">
        <w:rPr>
          <w:rFonts w:asciiTheme="minorHAnsi" w:hAnsiTheme="minorHAnsi" w:cstheme="minorHAnsi"/>
          <w:szCs w:val="21"/>
        </w:rPr>
        <w:t xml:space="preserve">National Aboriginal Community Controlled Health Organisation (2009) </w:t>
      </w:r>
      <w:r w:rsidRPr="00677889">
        <w:rPr>
          <w:rFonts w:asciiTheme="minorHAnsi" w:hAnsiTheme="minorHAnsi" w:cstheme="minorHAnsi"/>
          <w:i/>
          <w:szCs w:val="21"/>
        </w:rPr>
        <w:t>Towards a national primary health care strategy: fulfilling Aboriginal peoples aspirations to close the gap</w:t>
      </w:r>
      <w:r w:rsidRPr="00677889">
        <w:rPr>
          <w:rFonts w:asciiTheme="minorHAnsi" w:hAnsiTheme="minorHAnsi" w:cstheme="minorHAnsi"/>
          <w:szCs w:val="21"/>
        </w:rPr>
        <w:t xml:space="preserve">, NACCHO, Canberra. Retrieved from: </w:t>
      </w:r>
      <w:hyperlink r:id="rId80" w:history="1">
        <w:r w:rsidRPr="00677889">
          <w:rPr>
            <w:rStyle w:val="Hyperlink"/>
            <w:rFonts w:asciiTheme="minorHAnsi" w:hAnsiTheme="minorHAnsi" w:cstheme="minorHAnsi"/>
            <w:i w:val="0"/>
            <w:sz w:val="21"/>
            <w:szCs w:val="21"/>
          </w:rPr>
          <w:t>http://www.naccho.org.au/download/aboriginal-health/PHC%20Strategy_NACCHO_submission_FINAL_(2).pdf</w:t>
        </w:r>
      </w:hyperlink>
      <w:r w:rsidRPr="00677889">
        <w:rPr>
          <w:rFonts w:asciiTheme="minorHAnsi" w:hAnsiTheme="minorHAnsi" w:cstheme="minorHAnsi"/>
          <w:szCs w:val="21"/>
        </w:rPr>
        <w:t>. Accessed: 15 April 2015.</w:t>
      </w:r>
    </w:p>
    <w:p w14:paraId="42B0B981" w14:textId="77777777" w:rsidR="004C1838" w:rsidRPr="00677889" w:rsidRDefault="004C1838" w:rsidP="004C1838">
      <w:pPr>
        <w:ind w:left="567" w:hanging="567"/>
        <w:rPr>
          <w:rFonts w:asciiTheme="minorHAnsi" w:hAnsiTheme="minorHAnsi" w:cstheme="minorHAnsi"/>
          <w:szCs w:val="21"/>
        </w:rPr>
      </w:pPr>
      <w:r w:rsidRPr="00677889">
        <w:rPr>
          <w:rFonts w:asciiTheme="minorHAnsi" w:hAnsiTheme="minorHAnsi" w:cstheme="minorHAnsi"/>
          <w:szCs w:val="21"/>
        </w:rPr>
        <w:t xml:space="preserve">National Board of Chiropractic Examiners (2015) </w:t>
      </w:r>
      <w:r w:rsidRPr="00677889">
        <w:rPr>
          <w:rFonts w:asciiTheme="minorHAnsi" w:hAnsiTheme="minorHAnsi" w:cstheme="minorHAnsi"/>
          <w:i/>
          <w:szCs w:val="21"/>
        </w:rPr>
        <w:t>Practice Analysis of Chiropractic 2015</w:t>
      </w:r>
      <w:r w:rsidRPr="00677889">
        <w:rPr>
          <w:rFonts w:asciiTheme="minorHAnsi" w:hAnsiTheme="minorHAnsi" w:cstheme="minorHAnsi"/>
          <w:szCs w:val="21"/>
        </w:rPr>
        <w:t xml:space="preserve">, Colorado, January. Retrieved from: </w:t>
      </w:r>
      <w:hyperlink r:id="rId81" w:history="1">
        <w:r w:rsidRPr="00677889">
          <w:rPr>
            <w:rStyle w:val="Hyperlink"/>
            <w:rFonts w:asciiTheme="minorHAnsi" w:hAnsiTheme="minorHAnsi" w:cstheme="minorHAnsi"/>
            <w:i w:val="0"/>
            <w:sz w:val="21"/>
            <w:szCs w:val="21"/>
          </w:rPr>
          <w:t>http://www.nbce.org/practiceanalysis/</w:t>
        </w:r>
      </w:hyperlink>
      <w:r w:rsidRPr="00677889">
        <w:rPr>
          <w:rFonts w:asciiTheme="minorHAnsi" w:hAnsiTheme="minorHAnsi" w:cstheme="minorHAnsi"/>
          <w:szCs w:val="21"/>
        </w:rPr>
        <w:t>. Accessed: 1 April 2015.</w:t>
      </w:r>
    </w:p>
    <w:p w14:paraId="10C95E9C" w14:textId="77777777" w:rsidR="004C1838" w:rsidRPr="00677889" w:rsidRDefault="004C1838" w:rsidP="004C1838">
      <w:pPr>
        <w:ind w:left="567" w:hanging="567"/>
        <w:rPr>
          <w:rFonts w:asciiTheme="minorHAnsi" w:hAnsiTheme="minorHAnsi" w:cstheme="minorHAnsi"/>
          <w:szCs w:val="21"/>
        </w:rPr>
      </w:pPr>
      <w:r w:rsidRPr="00677889">
        <w:rPr>
          <w:rFonts w:asciiTheme="minorHAnsi" w:hAnsiTheme="minorHAnsi" w:cstheme="minorHAnsi"/>
          <w:szCs w:val="21"/>
        </w:rPr>
        <w:t xml:space="preserve">New Zealand Qualifications Authority (2010) </w:t>
      </w:r>
      <w:r w:rsidRPr="00677889">
        <w:rPr>
          <w:rFonts w:asciiTheme="minorHAnsi" w:hAnsiTheme="minorHAnsi" w:cstheme="minorHAnsi"/>
          <w:i/>
          <w:szCs w:val="21"/>
        </w:rPr>
        <w:t xml:space="preserve">New Zealand Qualifications Framework. </w:t>
      </w:r>
      <w:r w:rsidRPr="00677889">
        <w:rPr>
          <w:rFonts w:asciiTheme="minorHAnsi" w:hAnsiTheme="minorHAnsi" w:cstheme="minorHAnsi"/>
          <w:szCs w:val="21"/>
        </w:rPr>
        <w:t xml:space="preserve">Available at: </w:t>
      </w:r>
      <w:hyperlink r:id="rId82" w:history="1">
        <w:r w:rsidRPr="00677889">
          <w:rPr>
            <w:rStyle w:val="Hyperlink"/>
            <w:rFonts w:asciiTheme="minorHAnsi" w:hAnsiTheme="minorHAnsi" w:cstheme="minorHAnsi"/>
            <w:i w:val="0"/>
            <w:sz w:val="21"/>
            <w:szCs w:val="21"/>
          </w:rPr>
          <w:t>http://www.nzqa.govt.nz/studying-in-new-zealand/understand-nz-quals/nzqf/</w:t>
        </w:r>
      </w:hyperlink>
      <w:r w:rsidRPr="00677889">
        <w:rPr>
          <w:rFonts w:asciiTheme="minorHAnsi" w:hAnsiTheme="minorHAnsi" w:cstheme="minorHAnsi"/>
          <w:szCs w:val="21"/>
        </w:rPr>
        <w:t>. Accessed: 12 April 2015.</w:t>
      </w:r>
    </w:p>
    <w:p w14:paraId="183F4ADC" w14:textId="77777777" w:rsidR="004C1838" w:rsidRPr="00677889" w:rsidRDefault="004C1838" w:rsidP="004C1838">
      <w:pPr>
        <w:ind w:left="567" w:hanging="567"/>
        <w:rPr>
          <w:rFonts w:asciiTheme="minorHAnsi" w:hAnsiTheme="minorHAnsi" w:cstheme="minorHAnsi"/>
          <w:szCs w:val="21"/>
        </w:rPr>
      </w:pPr>
      <w:r w:rsidRPr="00677889">
        <w:rPr>
          <w:rFonts w:asciiTheme="minorHAnsi" w:hAnsiTheme="minorHAnsi" w:cstheme="minorHAnsi"/>
          <w:szCs w:val="21"/>
        </w:rPr>
        <w:t xml:space="preserve">NPS: Better choices, Better health (2012) </w:t>
      </w:r>
      <w:r w:rsidRPr="00677889">
        <w:rPr>
          <w:rFonts w:asciiTheme="minorHAnsi" w:hAnsiTheme="minorHAnsi" w:cstheme="minorHAnsi"/>
          <w:i/>
          <w:szCs w:val="21"/>
        </w:rPr>
        <w:t>Competencies to prescribe medicines: putting quality use of medicines into practice,</w:t>
      </w:r>
      <w:r w:rsidRPr="00677889">
        <w:rPr>
          <w:rFonts w:asciiTheme="minorHAnsi" w:hAnsiTheme="minorHAnsi" w:cstheme="minorHAnsi"/>
          <w:szCs w:val="21"/>
        </w:rPr>
        <w:t xml:space="preserve"> National Prescribing Service, Sydney. Retrieved from: </w:t>
      </w:r>
      <w:hyperlink r:id="rId83" w:history="1">
        <w:r w:rsidRPr="00677889">
          <w:rPr>
            <w:rStyle w:val="Hyperlink"/>
            <w:rFonts w:asciiTheme="minorHAnsi" w:hAnsiTheme="minorHAnsi" w:cstheme="minorHAnsi"/>
            <w:i w:val="0"/>
            <w:sz w:val="21"/>
            <w:szCs w:val="21"/>
          </w:rPr>
          <w:t>http://www.nps.org.au/__data/assets/pdf_file/0004/149719/Prescribing_Competencies_Framework.pdf</w:t>
        </w:r>
      </w:hyperlink>
      <w:r w:rsidRPr="00677889">
        <w:rPr>
          <w:rFonts w:asciiTheme="minorHAnsi" w:hAnsiTheme="minorHAnsi" w:cstheme="minorHAnsi"/>
          <w:szCs w:val="21"/>
        </w:rPr>
        <w:t>. Accessed: 2 February 2015.</w:t>
      </w:r>
    </w:p>
    <w:p w14:paraId="4F2798A3" w14:textId="77777777" w:rsidR="004C1838" w:rsidRPr="00677889" w:rsidRDefault="004C1838" w:rsidP="004C1838">
      <w:pPr>
        <w:ind w:left="567" w:hanging="567"/>
        <w:rPr>
          <w:rFonts w:asciiTheme="minorHAnsi" w:hAnsiTheme="minorHAnsi" w:cstheme="minorHAnsi"/>
          <w:szCs w:val="21"/>
        </w:rPr>
      </w:pPr>
      <w:r w:rsidRPr="00677889">
        <w:rPr>
          <w:rFonts w:asciiTheme="minorHAnsi" w:hAnsiTheme="minorHAnsi" w:cstheme="minorHAnsi"/>
          <w:szCs w:val="21"/>
        </w:rPr>
        <w:t xml:space="preserve">Nursing and Midwifery Board of Australia (2013) </w:t>
      </w:r>
      <w:r w:rsidRPr="00677889">
        <w:rPr>
          <w:rFonts w:asciiTheme="minorHAnsi" w:hAnsiTheme="minorHAnsi" w:cstheme="minorHAnsi"/>
          <w:i/>
          <w:szCs w:val="21"/>
        </w:rPr>
        <w:t>National Competency Standards for the Registered Nurse.</w:t>
      </w:r>
      <w:r w:rsidRPr="00677889">
        <w:rPr>
          <w:rFonts w:asciiTheme="minorHAnsi" w:hAnsiTheme="minorHAnsi" w:cstheme="minorHAnsi"/>
          <w:szCs w:val="21"/>
        </w:rPr>
        <w:t xml:space="preserve"> Retrieved from: </w:t>
      </w:r>
      <w:hyperlink r:id="rId84" w:history="1">
        <w:r w:rsidRPr="00677889">
          <w:rPr>
            <w:rStyle w:val="Hyperlink"/>
            <w:rFonts w:asciiTheme="minorHAnsi" w:hAnsiTheme="minorHAnsi" w:cstheme="minorHAnsi"/>
            <w:i w:val="0"/>
            <w:sz w:val="21"/>
            <w:szCs w:val="21"/>
          </w:rPr>
          <w:t>http://www.nursingmidwiferyboard.gov.au/documents/default.aspx?record=WD10%2f1342&amp;dbid=AP&amp;chksum=N5ws04xdBlZijTTSdKnSTQ%3d%3d</w:t>
        </w:r>
      </w:hyperlink>
      <w:r w:rsidRPr="00677889">
        <w:rPr>
          <w:rFonts w:asciiTheme="minorHAnsi" w:hAnsiTheme="minorHAnsi" w:cstheme="minorHAnsi"/>
          <w:szCs w:val="21"/>
        </w:rPr>
        <w:t>. Accessed: 16 January 2015.</w:t>
      </w:r>
    </w:p>
    <w:p w14:paraId="3D178054" w14:textId="77777777" w:rsidR="004C1838" w:rsidRPr="00677889" w:rsidRDefault="004C1838" w:rsidP="004C1838">
      <w:pPr>
        <w:ind w:left="567" w:hanging="567"/>
        <w:rPr>
          <w:rFonts w:asciiTheme="minorHAnsi" w:hAnsiTheme="minorHAnsi" w:cstheme="minorHAnsi"/>
          <w:i/>
          <w:szCs w:val="21"/>
        </w:rPr>
      </w:pPr>
      <w:r w:rsidRPr="00677889">
        <w:rPr>
          <w:rFonts w:asciiTheme="minorHAnsi" w:hAnsiTheme="minorHAnsi" w:cstheme="minorHAnsi"/>
          <w:szCs w:val="21"/>
        </w:rPr>
        <w:lastRenderedPageBreak/>
        <w:t xml:space="preserve">O'Keefe M, Henderson A and Chick R (2015) ‘Interprofessional Learning: Developing Sustainable, Embedded Interprofessional Learning – Competency Standards’, developed from </w:t>
      </w:r>
      <w:r w:rsidRPr="00677889">
        <w:rPr>
          <w:rFonts w:asciiTheme="minorHAnsi" w:hAnsiTheme="minorHAnsi" w:cstheme="minorHAnsi"/>
          <w:i/>
          <w:szCs w:val="21"/>
        </w:rPr>
        <w:t>Harmonising higher education and professional quality assurance processes for the assessment of learning outcomes in health.</w:t>
      </w:r>
    </w:p>
    <w:p w14:paraId="49A2EB8F" w14:textId="77777777" w:rsidR="004C1838" w:rsidRPr="00677889" w:rsidRDefault="004C1838" w:rsidP="004C1838">
      <w:pPr>
        <w:ind w:left="567" w:hanging="567"/>
        <w:rPr>
          <w:rFonts w:asciiTheme="minorHAnsi" w:hAnsiTheme="minorHAnsi" w:cstheme="minorHAnsi"/>
          <w:szCs w:val="21"/>
        </w:rPr>
      </w:pPr>
      <w:r w:rsidRPr="00677889">
        <w:rPr>
          <w:rFonts w:asciiTheme="minorHAnsi" w:hAnsiTheme="minorHAnsi" w:cstheme="minorHAnsi"/>
          <w:szCs w:val="21"/>
        </w:rPr>
        <w:t xml:space="preserve">O’Keefe M (2014) </w:t>
      </w:r>
      <w:r w:rsidRPr="00677889">
        <w:rPr>
          <w:rFonts w:asciiTheme="minorHAnsi" w:hAnsiTheme="minorHAnsi" w:cstheme="minorHAnsi"/>
          <w:i/>
          <w:szCs w:val="21"/>
        </w:rPr>
        <w:t>Review of the Australian Dental Council /Dental Council (New Zealand) program accreditation standards: Report on the development of draft program accreditation standards</w:t>
      </w:r>
      <w:r w:rsidRPr="00677889">
        <w:rPr>
          <w:rFonts w:asciiTheme="minorHAnsi" w:hAnsiTheme="minorHAnsi" w:cstheme="minorHAnsi"/>
          <w:szCs w:val="21"/>
        </w:rPr>
        <w:t>, August.</w:t>
      </w:r>
    </w:p>
    <w:p w14:paraId="0A33AD03" w14:textId="77777777" w:rsidR="004C1838" w:rsidRPr="00677889" w:rsidRDefault="004C1838" w:rsidP="004C1838">
      <w:pPr>
        <w:ind w:left="567" w:hanging="567"/>
        <w:rPr>
          <w:rFonts w:asciiTheme="minorHAnsi" w:hAnsiTheme="minorHAnsi" w:cstheme="minorHAnsi"/>
          <w:szCs w:val="21"/>
        </w:rPr>
      </w:pPr>
      <w:r w:rsidRPr="00677889">
        <w:rPr>
          <w:rFonts w:asciiTheme="minorHAnsi" w:hAnsiTheme="minorHAnsi" w:cstheme="minorHAnsi"/>
          <w:szCs w:val="21"/>
        </w:rPr>
        <w:t xml:space="preserve">O’Keefe M, Henderson A, Pitt R (2011) </w:t>
      </w:r>
      <w:r w:rsidRPr="00677889">
        <w:rPr>
          <w:rFonts w:asciiTheme="minorHAnsi" w:hAnsiTheme="minorHAnsi" w:cstheme="minorHAnsi"/>
          <w:i/>
          <w:szCs w:val="21"/>
        </w:rPr>
        <w:t>Learning and Teaching Academic Standards Project: Health, Medicine and Veterinary Science - Learning and Teaching Academic Standards Statement</w:t>
      </w:r>
      <w:r w:rsidRPr="00677889">
        <w:rPr>
          <w:rFonts w:asciiTheme="minorHAnsi" w:hAnsiTheme="minorHAnsi" w:cstheme="minorHAnsi"/>
          <w:szCs w:val="21"/>
        </w:rPr>
        <w:t xml:space="preserve">, Australian Learning and Teaching Council, June. Retrieved from: </w:t>
      </w:r>
      <w:hyperlink r:id="rId85" w:history="1">
        <w:r w:rsidRPr="00677889">
          <w:rPr>
            <w:rStyle w:val="Hyperlink"/>
            <w:rFonts w:asciiTheme="minorHAnsi" w:hAnsiTheme="minorHAnsi" w:cstheme="minorHAnsi"/>
            <w:i w:val="0"/>
            <w:sz w:val="21"/>
            <w:szCs w:val="21"/>
          </w:rPr>
          <w:t>http://www.olt.gov.au/system/files/resources/altc_standards_HMVS_210611_0.pdf</w:t>
        </w:r>
      </w:hyperlink>
      <w:r w:rsidRPr="00677889">
        <w:rPr>
          <w:rFonts w:asciiTheme="minorHAnsi" w:hAnsiTheme="minorHAnsi" w:cstheme="minorHAnsi"/>
          <w:szCs w:val="21"/>
        </w:rPr>
        <w:t>. Accessed: 15 April 2015.</w:t>
      </w:r>
    </w:p>
    <w:p w14:paraId="7B80FA51" w14:textId="77777777" w:rsidR="004C1838" w:rsidRPr="00677889" w:rsidRDefault="004C1838" w:rsidP="004C1838">
      <w:pPr>
        <w:ind w:left="567" w:hanging="567"/>
        <w:rPr>
          <w:rFonts w:asciiTheme="minorHAnsi" w:hAnsiTheme="minorHAnsi" w:cstheme="minorHAnsi"/>
          <w:szCs w:val="21"/>
        </w:rPr>
      </w:pPr>
      <w:r w:rsidRPr="00677889">
        <w:rPr>
          <w:rFonts w:asciiTheme="minorHAnsi" w:hAnsiTheme="minorHAnsi" w:cstheme="minorHAnsi"/>
          <w:szCs w:val="21"/>
        </w:rPr>
        <w:t xml:space="preserve">Optometry Council of Australia and New Zealand (2015) </w:t>
      </w:r>
      <w:r w:rsidRPr="00677889">
        <w:rPr>
          <w:rFonts w:asciiTheme="minorHAnsi" w:hAnsiTheme="minorHAnsi" w:cstheme="minorHAnsi"/>
          <w:i/>
          <w:szCs w:val="21"/>
        </w:rPr>
        <w:t>Review of Entry Level Accreditation Standards for Optometry Programs in Australia and New Zealand: OCANZ Consultation Paper</w:t>
      </w:r>
      <w:r w:rsidRPr="00677889">
        <w:rPr>
          <w:rFonts w:asciiTheme="minorHAnsi" w:hAnsiTheme="minorHAnsi" w:cstheme="minorHAnsi"/>
          <w:szCs w:val="21"/>
        </w:rPr>
        <w:t xml:space="preserve">, March. Retrieved from: </w:t>
      </w:r>
      <w:hyperlink r:id="rId86" w:history="1">
        <w:r w:rsidRPr="00677889">
          <w:rPr>
            <w:rStyle w:val="Hyperlink"/>
            <w:rFonts w:asciiTheme="minorHAnsi" w:hAnsiTheme="minorHAnsi" w:cstheme="minorHAnsi"/>
            <w:i w:val="0"/>
            <w:sz w:val="21"/>
            <w:szCs w:val="21"/>
          </w:rPr>
          <w:t>http://www.ocanz.org/documents/information-1/45-ocanz-consultation-paper</w:t>
        </w:r>
      </w:hyperlink>
      <w:r w:rsidRPr="00677889">
        <w:rPr>
          <w:rFonts w:asciiTheme="minorHAnsi" w:hAnsiTheme="minorHAnsi" w:cstheme="minorHAnsi"/>
          <w:szCs w:val="21"/>
        </w:rPr>
        <w:t>. Accessed: 16 April 2015.</w:t>
      </w:r>
    </w:p>
    <w:p w14:paraId="1E0FF867" w14:textId="77777777" w:rsidR="00C7597C" w:rsidRPr="00677889" w:rsidRDefault="00C7597C" w:rsidP="00C7597C">
      <w:pPr>
        <w:ind w:left="567" w:hanging="567"/>
        <w:rPr>
          <w:rFonts w:asciiTheme="minorHAnsi" w:hAnsiTheme="minorHAnsi" w:cstheme="minorHAnsi"/>
          <w:szCs w:val="21"/>
        </w:rPr>
      </w:pPr>
      <w:r w:rsidRPr="00677889">
        <w:rPr>
          <w:rFonts w:asciiTheme="minorHAnsi" w:hAnsiTheme="minorHAnsi" w:cstheme="minorHAnsi"/>
          <w:szCs w:val="21"/>
        </w:rPr>
        <w:t xml:space="preserve">Sackett DL, Straus SE, Richardson WS, Rosenberg W and Haynes RB(2000) </w:t>
      </w:r>
      <w:r w:rsidRPr="00677889">
        <w:rPr>
          <w:rFonts w:asciiTheme="minorHAnsi" w:hAnsiTheme="minorHAnsi" w:cstheme="minorHAnsi"/>
          <w:i/>
          <w:szCs w:val="21"/>
        </w:rPr>
        <w:t>Evidence-Based Medicine. How to practice and teach EBM, 2</w:t>
      </w:r>
      <w:r w:rsidRPr="00677889">
        <w:rPr>
          <w:rFonts w:asciiTheme="minorHAnsi" w:hAnsiTheme="minorHAnsi" w:cstheme="minorHAnsi"/>
          <w:i/>
          <w:szCs w:val="21"/>
          <w:vertAlign w:val="superscript"/>
        </w:rPr>
        <w:t>nd</w:t>
      </w:r>
      <w:r w:rsidRPr="00677889">
        <w:rPr>
          <w:rFonts w:asciiTheme="minorHAnsi" w:hAnsiTheme="minorHAnsi" w:cstheme="minorHAnsi"/>
          <w:i/>
          <w:szCs w:val="21"/>
        </w:rPr>
        <w:t xml:space="preserve"> edition,</w:t>
      </w:r>
      <w:r w:rsidRPr="00677889">
        <w:rPr>
          <w:rFonts w:asciiTheme="minorHAnsi" w:hAnsiTheme="minorHAnsi" w:cstheme="minorHAnsi"/>
          <w:szCs w:val="21"/>
        </w:rPr>
        <w:t xml:space="preserve"> Edinburgh: Churchill Livingstone.</w:t>
      </w:r>
    </w:p>
    <w:p w14:paraId="65B94E60" w14:textId="77777777" w:rsidR="004C1838" w:rsidRPr="00677889" w:rsidRDefault="004C1838" w:rsidP="004C1838">
      <w:pPr>
        <w:ind w:left="567" w:hanging="567"/>
        <w:rPr>
          <w:rFonts w:asciiTheme="minorHAnsi" w:hAnsiTheme="minorHAnsi" w:cstheme="minorHAnsi"/>
          <w:szCs w:val="21"/>
        </w:rPr>
      </w:pPr>
      <w:r w:rsidRPr="00677889">
        <w:rPr>
          <w:rFonts w:asciiTheme="minorHAnsi" w:hAnsiTheme="minorHAnsi" w:cstheme="minorHAnsi"/>
          <w:i/>
          <w:szCs w:val="21"/>
        </w:rPr>
        <w:t>Tertiary Education Quality and Standards Agency Act</w:t>
      </w:r>
      <w:r w:rsidRPr="00677889">
        <w:rPr>
          <w:rFonts w:asciiTheme="minorHAnsi" w:hAnsiTheme="minorHAnsi" w:cstheme="minorHAnsi"/>
          <w:szCs w:val="21"/>
        </w:rPr>
        <w:t xml:space="preserve"> </w:t>
      </w:r>
      <w:r w:rsidRPr="00677889">
        <w:rPr>
          <w:rFonts w:asciiTheme="minorHAnsi" w:hAnsiTheme="minorHAnsi" w:cstheme="minorHAnsi"/>
          <w:i/>
          <w:szCs w:val="21"/>
        </w:rPr>
        <w:t>2011</w:t>
      </w:r>
      <w:r w:rsidRPr="00677889">
        <w:rPr>
          <w:rFonts w:asciiTheme="minorHAnsi" w:hAnsiTheme="minorHAnsi" w:cstheme="minorHAnsi"/>
          <w:szCs w:val="21"/>
        </w:rPr>
        <w:t xml:space="preserve">. Retrieved from: </w:t>
      </w:r>
      <w:hyperlink r:id="rId87" w:history="1">
        <w:r w:rsidRPr="00677889">
          <w:rPr>
            <w:rStyle w:val="Hyperlink"/>
            <w:rFonts w:asciiTheme="minorHAnsi" w:hAnsiTheme="minorHAnsi" w:cstheme="minorHAnsi"/>
            <w:i w:val="0"/>
            <w:sz w:val="21"/>
            <w:szCs w:val="21"/>
          </w:rPr>
          <w:t>http://www.comlaw.gov.au/Details/C2012C00737/5bcace89-61a0-42de-93ad-3a6456659d79</w:t>
        </w:r>
      </w:hyperlink>
      <w:r w:rsidRPr="00677889">
        <w:rPr>
          <w:rFonts w:asciiTheme="minorHAnsi" w:hAnsiTheme="minorHAnsi" w:cstheme="minorHAnsi"/>
          <w:szCs w:val="21"/>
        </w:rPr>
        <w:t>. Accessed: 12 April 2015.</w:t>
      </w:r>
    </w:p>
    <w:p w14:paraId="1100933E" w14:textId="77777777" w:rsidR="004C1838" w:rsidRPr="00677889" w:rsidRDefault="004C1838" w:rsidP="004C1838">
      <w:pPr>
        <w:ind w:left="567" w:hanging="567"/>
        <w:rPr>
          <w:rFonts w:asciiTheme="minorHAnsi" w:hAnsiTheme="minorHAnsi" w:cstheme="minorHAnsi"/>
          <w:szCs w:val="21"/>
        </w:rPr>
      </w:pPr>
      <w:r w:rsidRPr="00677889">
        <w:rPr>
          <w:rFonts w:asciiTheme="minorHAnsi" w:hAnsiTheme="minorHAnsi" w:cstheme="minorHAnsi"/>
          <w:szCs w:val="21"/>
        </w:rPr>
        <w:t xml:space="preserve">Vic Health (2014) </w:t>
      </w:r>
      <w:r w:rsidRPr="00677889">
        <w:rPr>
          <w:rFonts w:asciiTheme="minorHAnsi" w:hAnsiTheme="minorHAnsi" w:cstheme="minorHAnsi"/>
          <w:i/>
          <w:szCs w:val="21"/>
        </w:rPr>
        <w:t>Well placed. Well prepared: Clinical Placements in Victoria</w:t>
      </w:r>
      <w:r w:rsidRPr="00677889">
        <w:rPr>
          <w:rFonts w:asciiTheme="minorHAnsi" w:hAnsiTheme="minorHAnsi" w:cstheme="minorHAnsi"/>
          <w:szCs w:val="21"/>
        </w:rPr>
        <w:t xml:space="preserve">. Retrieved from: </w:t>
      </w:r>
      <w:hyperlink r:id="rId88" w:history="1">
        <w:r w:rsidRPr="00677889">
          <w:rPr>
            <w:rStyle w:val="Hyperlink"/>
            <w:rFonts w:asciiTheme="minorHAnsi" w:hAnsiTheme="minorHAnsi" w:cstheme="minorHAnsi"/>
            <w:i w:val="0"/>
            <w:sz w:val="21"/>
            <w:szCs w:val="21"/>
          </w:rPr>
          <w:t>http://www.health.vic.gov.au/placements/resources/index.htm</w:t>
        </w:r>
      </w:hyperlink>
      <w:r w:rsidRPr="00677889">
        <w:rPr>
          <w:rFonts w:asciiTheme="minorHAnsi" w:hAnsiTheme="minorHAnsi" w:cstheme="minorHAnsi"/>
          <w:szCs w:val="21"/>
        </w:rPr>
        <w:t>. Accessed: 29 April 2015.</w:t>
      </w:r>
    </w:p>
    <w:p w14:paraId="5E1D673F" w14:textId="77777777" w:rsidR="004C1838" w:rsidRPr="00677889" w:rsidRDefault="004C1838" w:rsidP="004C1838">
      <w:pPr>
        <w:ind w:left="567" w:hanging="567"/>
        <w:rPr>
          <w:rFonts w:asciiTheme="minorHAnsi" w:hAnsiTheme="minorHAnsi" w:cstheme="minorHAnsi"/>
          <w:szCs w:val="21"/>
        </w:rPr>
      </w:pPr>
      <w:r w:rsidRPr="00677889">
        <w:rPr>
          <w:rFonts w:asciiTheme="minorHAnsi" w:hAnsiTheme="minorHAnsi" w:cstheme="minorHAnsi"/>
          <w:szCs w:val="21"/>
        </w:rPr>
        <w:t xml:space="preserve">World Federation of Chiropractic (2001) </w:t>
      </w:r>
      <w:r w:rsidRPr="00677889">
        <w:rPr>
          <w:rFonts w:asciiTheme="minorHAnsi" w:hAnsiTheme="minorHAnsi" w:cstheme="minorHAnsi"/>
          <w:i/>
          <w:szCs w:val="21"/>
        </w:rPr>
        <w:t>Definitions of Chiropractic</w:t>
      </w:r>
      <w:r w:rsidRPr="00677889">
        <w:rPr>
          <w:rFonts w:asciiTheme="minorHAnsi" w:hAnsiTheme="minorHAnsi" w:cstheme="minorHAnsi"/>
          <w:szCs w:val="21"/>
        </w:rPr>
        <w:t xml:space="preserve">, WFC Dictionary Definition. Retrieved from: </w:t>
      </w:r>
      <w:hyperlink r:id="rId89" w:history="1">
        <w:r w:rsidRPr="00677889">
          <w:rPr>
            <w:rStyle w:val="Hyperlink"/>
            <w:rFonts w:asciiTheme="minorHAnsi" w:hAnsiTheme="minorHAnsi" w:cstheme="minorHAnsi"/>
            <w:i w:val="0"/>
            <w:sz w:val="21"/>
            <w:szCs w:val="21"/>
          </w:rPr>
          <w:t>https://www.wfc.org/website/index.php?option=com_content&amp;view=article&amp;id=90&amp;Itemid=110</w:t>
        </w:r>
      </w:hyperlink>
      <w:r w:rsidRPr="00677889">
        <w:rPr>
          <w:rFonts w:asciiTheme="minorHAnsi" w:hAnsiTheme="minorHAnsi" w:cstheme="minorHAnsi"/>
          <w:szCs w:val="21"/>
        </w:rPr>
        <w:t>. Accessed: 29 April 2015.</w:t>
      </w:r>
    </w:p>
    <w:p w14:paraId="290EBECB" w14:textId="77777777" w:rsidR="004C1838" w:rsidRPr="00677889" w:rsidRDefault="004C1838" w:rsidP="004C1838">
      <w:pPr>
        <w:ind w:left="567" w:hanging="567"/>
        <w:rPr>
          <w:rFonts w:asciiTheme="minorHAnsi" w:hAnsiTheme="minorHAnsi" w:cstheme="minorHAnsi"/>
          <w:szCs w:val="21"/>
        </w:rPr>
      </w:pPr>
      <w:r w:rsidRPr="00677889">
        <w:rPr>
          <w:rFonts w:asciiTheme="minorHAnsi" w:hAnsiTheme="minorHAnsi" w:cstheme="minorHAnsi"/>
          <w:szCs w:val="21"/>
        </w:rPr>
        <w:t xml:space="preserve">World Federation for Medical Education (2012) </w:t>
      </w:r>
      <w:r w:rsidRPr="00677889">
        <w:rPr>
          <w:rFonts w:asciiTheme="minorHAnsi" w:hAnsiTheme="minorHAnsi" w:cstheme="minorHAnsi"/>
          <w:i/>
          <w:szCs w:val="21"/>
        </w:rPr>
        <w:t>Basic Medical Education WFMW Global Standards for Quality Improvement: the 2012 Revision.</w:t>
      </w:r>
      <w:r w:rsidRPr="00677889">
        <w:rPr>
          <w:rFonts w:asciiTheme="minorHAnsi" w:hAnsiTheme="minorHAnsi" w:cstheme="minorHAnsi"/>
          <w:szCs w:val="21"/>
        </w:rPr>
        <w:t xml:space="preserve"> Retrieved from: </w:t>
      </w:r>
      <w:hyperlink r:id="rId90" w:history="1">
        <w:r w:rsidRPr="00677889">
          <w:rPr>
            <w:rStyle w:val="Hyperlink"/>
            <w:rFonts w:asciiTheme="minorHAnsi" w:hAnsiTheme="minorHAnsi" w:cstheme="minorHAnsi"/>
            <w:i w:val="0"/>
            <w:sz w:val="21"/>
            <w:szCs w:val="21"/>
          </w:rPr>
          <w:t>http://wfme.org/standards/bme/78-new-version-2012-quality-improvement-in-basic-medical-education-english/file</w:t>
        </w:r>
      </w:hyperlink>
      <w:r w:rsidRPr="00677889">
        <w:rPr>
          <w:rFonts w:asciiTheme="minorHAnsi" w:hAnsiTheme="minorHAnsi" w:cstheme="minorHAnsi"/>
          <w:szCs w:val="21"/>
        </w:rPr>
        <w:t>. Accessed: 16 April 2015.</w:t>
      </w:r>
    </w:p>
    <w:p w14:paraId="35BA4298" w14:textId="77777777" w:rsidR="004C1838" w:rsidRPr="00677889" w:rsidRDefault="004C1838" w:rsidP="004C1838">
      <w:pPr>
        <w:ind w:left="567" w:hanging="567"/>
        <w:sectPr w:rsidR="004C1838" w:rsidRPr="00677889" w:rsidSect="004C112D">
          <w:pgSz w:w="11907" w:h="16839" w:code="9"/>
          <w:pgMar w:top="1440" w:right="1440" w:bottom="1440" w:left="1440" w:header="720" w:footer="720" w:gutter="0"/>
          <w:cols w:space="720"/>
          <w:docGrid w:linePitch="360"/>
        </w:sectPr>
      </w:pPr>
      <w:r w:rsidRPr="00677889">
        <w:rPr>
          <w:rFonts w:asciiTheme="minorHAnsi" w:hAnsiTheme="minorHAnsi" w:cstheme="minorHAnsi"/>
          <w:szCs w:val="21"/>
        </w:rPr>
        <w:t xml:space="preserve">World Health Organization (2005) </w:t>
      </w:r>
      <w:r w:rsidRPr="00677889">
        <w:rPr>
          <w:rFonts w:asciiTheme="minorHAnsi" w:hAnsiTheme="minorHAnsi" w:cstheme="minorHAnsi"/>
          <w:i/>
          <w:szCs w:val="21"/>
        </w:rPr>
        <w:t>Preparing a health care workforce for the 21st century: The Challenge of Chronic Conditions</w:t>
      </w:r>
      <w:r w:rsidRPr="00677889">
        <w:rPr>
          <w:rFonts w:asciiTheme="minorHAnsi" w:hAnsiTheme="minorHAnsi" w:cstheme="minorHAnsi"/>
          <w:szCs w:val="21"/>
        </w:rPr>
        <w:t xml:space="preserve">, Non-communicable Diseases and Mental Health Cluster Chronic Diseases and Health Promotion Department, Geneva. Accessed from: </w:t>
      </w:r>
      <w:hyperlink r:id="rId91" w:history="1">
        <w:r w:rsidRPr="00677889">
          <w:rPr>
            <w:rStyle w:val="Hyperlink"/>
            <w:rFonts w:asciiTheme="minorHAnsi" w:hAnsiTheme="minorHAnsi" w:cstheme="minorHAnsi"/>
            <w:sz w:val="21"/>
            <w:szCs w:val="21"/>
          </w:rPr>
          <w:t>http://www.who.int/chp/knowledge/publications/workforce_report.pdf?ua=1</w:t>
        </w:r>
      </w:hyperlink>
      <w:r w:rsidRPr="00677889">
        <w:rPr>
          <w:rFonts w:asciiTheme="minorHAnsi" w:hAnsiTheme="minorHAnsi" w:cstheme="minorHAnsi"/>
          <w:szCs w:val="21"/>
        </w:rPr>
        <w:t>. 3 August 2015</w:t>
      </w:r>
    </w:p>
    <w:p w14:paraId="45999AAF" w14:textId="77777777" w:rsidR="006702C1" w:rsidRPr="00677889" w:rsidRDefault="006702C1" w:rsidP="006702C1">
      <w:pPr>
        <w:keepLines w:val="0"/>
        <w:widowControl/>
        <w:spacing w:before="120" w:after="120"/>
        <w:rPr>
          <w:rFonts w:asciiTheme="minorHAnsi" w:hAnsiTheme="minorHAnsi" w:cstheme="minorHAnsi"/>
          <w:color w:val="auto"/>
          <w:szCs w:val="21"/>
        </w:rPr>
      </w:pPr>
    </w:p>
    <w:p w14:paraId="30D000C5" w14:textId="77777777" w:rsidR="006702C1" w:rsidRPr="00677889" w:rsidRDefault="006702C1" w:rsidP="006702C1">
      <w:pPr>
        <w:keepLines w:val="0"/>
        <w:widowControl/>
        <w:spacing w:after="160" w:line="300" w:lineRule="auto"/>
        <w:rPr>
          <w:rFonts w:ascii="Calibri" w:hAnsi="Calibri"/>
          <w:color w:val="auto"/>
          <w:sz w:val="22"/>
          <w:szCs w:val="21"/>
          <w:lang w:val="en-US"/>
        </w:rPr>
      </w:pPr>
    </w:p>
    <w:p w14:paraId="36BA4D33" w14:textId="77777777" w:rsidR="003461FC" w:rsidRPr="00677889" w:rsidRDefault="003461FC" w:rsidP="006702C1">
      <w:pPr>
        <w:keepLines w:val="0"/>
        <w:widowControl/>
        <w:spacing w:after="160" w:line="300" w:lineRule="auto"/>
        <w:rPr>
          <w:rFonts w:ascii="Calibri" w:hAnsi="Calibri"/>
          <w:color w:val="auto"/>
          <w:sz w:val="22"/>
          <w:szCs w:val="21"/>
          <w:lang w:val="en-US"/>
        </w:rPr>
      </w:pPr>
    </w:p>
    <w:p w14:paraId="243069E2" w14:textId="77777777" w:rsidR="003461FC" w:rsidRPr="00677889" w:rsidRDefault="003461FC" w:rsidP="006702C1">
      <w:pPr>
        <w:keepLines w:val="0"/>
        <w:widowControl/>
        <w:spacing w:after="160" w:line="300" w:lineRule="auto"/>
        <w:rPr>
          <w:rFonts w:ascii="Calibri" w:hAnsi="Calibri"/>
          <w:color w:val="auto"/>
          <w:sz w:val="22"/>
          <w:szCs w:val="21"/>
          <w:lang w:val="en-US"/>
        </w:rPr>
      </w:pPr>
    </w:p>
    <w:p w14:paraId="705ABA19" w14:textId="77777777" w:rsidR="003461FC" w:rsidRPr="00677889" w:rsidRDefault="003461FC" w:rsidP="006702C1">
      <w:pPr>
        <w:keepLines w:val="0"/>
        <w:widowControl/>
        <w:spacing w:after="160" w:line="300" w:lineRule="auto"/>
        <w:rPr>
          <w:rFonts w:ascii="Calibri" w:hAnsi="Calibri"/>
          <w:color w:val="auto"/>
          <w:sz w:val="22"/>
          <w:szCs w:val="21"/>
          <w:lang w:val="en-US"/>
        </w:rPr>
      </w:pPr>
    </w:p>
    <w:p w14:paraId="63A2375B" w14:textId="77777777" w:rsidR="003461FC" w:rsidRPr="00677889" w:rsidRDefault="003461FC" w:rsidP="006702C1">
      <w:pPr>
        <w:keepLines w:val="0"/>
        <w:widowControl/>
        <w:spacing w:after="160" w:line="300" w:lineRule="auto"/>
        <w:rPr>
          <w:rFonts w:ascii="Calibri" w:hAnsi="Calibri"/>
          <w:color w:val="auto"/>
          <w:sz w:val="22"/>
          <w:szCs w:val="21"/>
          <w:lang w:val="en-US"/>
        </w:rPr>
      </w:pPr>
    </w:p>
    <w:tbl>
      <w:tblPr>
        <w:tblStyle w:val="TableGrid2"/>
        <w:tblpPr w:leftFromText="180" w:rightFromText="180" w:vertAnchor="page" w:horzAnchor="page" w:tblpX="4047" w:tblpY="86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3461FC" w:rsidRPr="003461FC" w14:paraId="7A1644E6" w14:textId="77777777" w:rsidTr="006D0327">
        <w:tc>
          <w:tcPr>
            <w:tcW w:w="5211" w:type="dxa"/>
          </w:tcPr>
          <w:p w14:paraId="61329C03" w14:textId="77777777" w:rsidR="003461FC" w:rsidRPr="00677889" w:rsidRDefault="003461FC" w:rsidP="003461FC">
            <w:pPr>
              <w:keepLines w:val="0"/>
              <w:widowControl/>
              <w:rPr>
                <w:rFonts w:cs="Arial"/>
                <w:color w:val="046E9C" w:themeColor="text2"/>
                <w:w w:val="91"/>
                <w:szCs w:val="21"/>
              </w:rPr>
            </w:pPr>
            <w:r w:rsidRPr="00677889">
              <w:rPr>
                <w:rFonts w:cs="Arial"/>
                <w:color w:val="046E9C" w:themeColor="text2"/>
                <w:szCs w:val="21"/>
                <w:lang w:val="en-US"/>
              </w:rPr>
              <w:t>Council on Chiropractic Education Australasia</w:t>
            </w:r>
            <w:r w:rsidRPr="00677889">
              <w:rPr>
                <w:rFonts w:cs="Arial"/>
                <w:color w:val="046E9C" w:themeColor="text2"/>
                <w:w w:val="91"/>
                <w:szCs w:val="21"/>
              </w:rPr>
              <w:br/>
            </w:r>
            <w:r w:rsidRPr="00677889">
              <w:rPr>
                <w:color w:val="046E9C" w:themeColor="text2"/>
                <w:sz w:val="16"/>
                <w:szCs w:val="16"/>
                <w:lang w:val="en-US"/>
              </w:rPr>
              <w:t>ABN: 91 168 760 067</w:t>
            </w:r>
          </w:p>
          <w:p w14:paraId="6D9805E4" w14:textId="77777777" w:rsidR="003461FC" w:rsidRPr="00677889" w:rsidRDefault="003461FC" w:rsidP="003461FC">
            <w:pPr>
              <w:keepLines w:val="0"/>
              <w:widowControl/>
              <w:rPr>
                <w:szCs w:val="21"/>
                <w:lang w:val="en-US"/>
              </w:rPr>
            </w:pPr>
            <w:r w:rsidRPr="00677889">
              <w:rPr>
                <w:szCs w:val="21"/>
                <w:lang w:val="en-US"/>
              </w:rPr>
              <w:t>GPO Box 622</w:t>
            </w:r>
            <w:r w:rsidRPr="00677889">
              <w:rPr>
                <w:szCs w:val="21"/>
                <w:lang w:val="en-US"/>
              </w:rPr>
              <w:br/>
              <w:t>Canberra ACT 2601</w:t>
            </w:r>
            <w:r w:rsidRPr="00677889">
              <w:rPr>
                <w:szCs w:val="21"/>
                <w:lang w:val="en-US"/>
              </w:rPr>
              <w:br/>
              <w:t>Australia</w:t>
            </w:r>
          </w:p>
          <w:p w14:paraId="7C26DDC2" w14:textId="77777777" w:rsidR="003461FC" w:rsidRPr="003461FC" w:rsidRDefault="003461FC" w:rsidP="003461FC">
            <w:pPr>
              <w:keepLines w:val="0"/>
              <w:widowControl/>
              <w:rPr>
                <w:w w:val="91"/>
                <w:szCs w:val="21"/>
              </w:rPr>
            </w:pPr>
            <w:r w:rsidRPr="00677889">
              <w:rPr>
                <w:color w:val="046E9C" w:themeColor="text2"/>
                <w:szCs w:val="21"/>
                <w:lang w:val="en-US"/>
              </w:rPr>
              <w:t>P:</w:t>
            </w:r>
            <w:r w:rsidRPr="00677889">
              <w:rPr>
                <w:szCs w:val="21"/>
                <w:lang w:val="en-US"/>
              </w:rPr>
              <w:t xml:space="preserve"> </w:t>
            </w:r>
            <w:r w:rsidRPr="00677889">
              <w:rPr>
                <w:w w:val="91"/>
                <w:szCs w:val="21"/>
              </w:rPr>
              <w:t>+61 (2) 6100 6264</w:t>
            </w:r>
            <w:r w:rsidRPr="00677889">
              <w:rPr>
                <w:w w:val="91"/>
                <w:szCs w:val="21"/>
              </w:rPr>
              <w:br/>
            </w:r>
            <w:r w:rsidRPr="00677889">
              <w:rPr>
                <w:color w:val="046E9C" w:themeColor="text2"/>
                <w:szCs w:val="21"/>
                <w:lang w:val="en-US"/>
              </w:rPr>
              <w:t>E:</w:t>
            </w:r>
            <w:r w:rsidRPr="00677889">
              <w:rPr>
                <w:szCs w:val="21"/>
                <w:lang w:val="en-US"/>
              </w:rPr>
              <w:t xml:space="preserve"> </w:t>
            </w:r>
            <w:hyperlink r:id="rId92" w:history="1">
              <w:r w:rsidRPr="00677889">
                <w:rPr>
                  <w:i/>
                  <w:color w:val="auto"/>
                  <w:sz w:val="20"/>
                  <w:szCs w:val="21"/>
                  <w:lang w:val="en-US"/>
                </w:rPr>
                <w:t>admin@ccea.com.au</w:t>
              </w:r>
            </w:hyperlink>
            <w:r w:rsidRPr="00677889">
              <w:rPr>
                <w:szCs w:val="21"/>
                <w:lang w:val="en-US"/>
              </w:rPr>
              <w:br/>
            </w:r>
            <w:r w:rsidRPr="00677889">
              <w:rPr>
                <w:color w:val="046E9C" w:themeColor="text2"/>
                <w:szCs w:val="21"/>
                <w:lang w:val="en-US"/>
              </w:rPr>
              <w:t>www.ccea.com.au</w:t>
            </w:r>
          </w:p>
        </w:tc>
      </w:tr>
    </w:tbl>
    <w:p w14:paraId="435E1B46" w14:textId="77777777" w:rsidR="00214C4F" w:rsidRDefault="00214C4F" w:rsidP="00214C4F">
      <w:pPr>
        <w:pStyle w:val="BodyText"/>
      </w:pPr>
    </w:p>
    <w:sectPr w:rsidR="00214C4F" w:rsidSect="00E766C0">
      <w:headerReference w:type="even" r:id="rId93"/>
      <w:headerReference w:type="default" r:id="rId94"/>
      <w:footerReference w:type="default" r:id="rId95"/>
      <w:headerReference w:type="first" r:id="rId96"/>
      <w:type w:val="continuous"/>
      <w:pgSz w:w="11907" w:h="16840" w:code="9"/>
      <w:pgMar w:top="1247" w:right="1418" w:bottom="964" w:left="1418" w:header="964" w:footer="5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F9FBE" w14:textId="77777777" w:rsidR="004438E2" w:rsidRDefault="004438E2">
      <w:pPr>
        <w:spacing w:after="0" w:line="240" w:lineRule="auto"/>
      </w:pPr>
      <w:r>
        <w:separator/>
      </w:r>
    </w:p>
  </w:endnote>
  <w:endnote w:type="continuationSeparator" w:id="0">
    <w:p w14:paraId="58FB4236" w14:textId="77777777" w:rsidR="004438E2" w:rsidRDefault="00443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7CBCA" w14:textId="77777777" w:rsidR="00105B36" w:rsidRDefault="00105B3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53685" w14:textId="77777777" w:rsidR="00CA4B5C" w:rsidRPr="007C7039" w:rsidRDefault="00CA4B5C" w:rsidP="007C7039">
    <w:pPr>
      <w:pStyle w:val="Footer"/>
      <w:jc w:val="left"/>
      <w:rPr>
        <w:bCs/>
        <w:spacing w:val="-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CB7B8" w14:textId="77777777" w:rsidR="00105B36" w:rsidRDefault="00105B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14921" w14:textId="77777777" w:rsidR="00105B36" w:rsidRDefault="00105B3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A7885" w14:textId="77777777" w:rsidR="00CA4B5C" w:rsidRDefault="00D159D8" w:rsidP="007C7039">
    <w:pPr>
      <w:pStyle w:val="Footer"/>
      <w:jc w:val="left"/>
    </w:pPr>
    <w:r>
      <w:pict w14:anchorId="29008735">
        <v:rect id="_x0000_i1025" style="width:0;height:1.5pt" o:hralign="center" o:hrstd="t" o:hr="t" fillcolor="#a0a0a0" stroked="f"/>
      </w:pict>
    </w:r>
  </w:p>
  <w:p w14:paraId="044E3EE4" w14:textId="0CC567C7" w:rsidR="00CA4B5C" w:rsidRPr="007C7039" w:rsidRDefault="00CA4B5C" w:rsidP="007C7039">
    <w:pPr>
      <w:pStyle w:val="Footer"/>
      <w:jc w:val="left"/>
      <w:rPr>
        <w:bCs/>
        <w:spacing w:val="-3"/>
      </w:rPr>
    </w:pPr>
    <w:r>
      <w:t>Chiropractic Accreditation and Competency Standards -</w:t>
    </w:r>
    <w:r w:rsidRPr="005F2AC7">
      <w:rPr>
        <w:spacing w:val="16"/>
      </w:rPr>
      <w:t xml:space="preserve"> </w:t>
    </w:r>
    <w:r w:rsidRPr="005F2AC7">
      <w:t xml:space="preserve">© </w:t>
    </w:r>
    <w:r>
      <w:t>Council on Chiropractic Education Australasia</w:t>
    </w:r>
    <w:r>
      <w:tab/>
    </w:r>
    <w:r w:rsidRPr="005F2AC7">
      <w:t xml:space="preserve"> </w:t>
    </w:r>
    <w:r>
      <w:fldChar w:fldCharType="begin"/>
    </w:r>
    <w:r>
      <w:instrText xml:space="preserve"> PAGE </w:instrText>
    </w:r>
    <w:r>
      <w:fldChar w:fldCharType="separate"/>
    </w:r>
    <w:r w:rsidR="00D159D8">
      <w:rPr>
        <w:noProof/>
      </w:rPr>
      <w:t>21</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B5F86" w14:textId="77777777" w:rsidR="00CA4B5C" w:rsidRDefault="00CA4B5C">
    <w:pPr>
      <w:pStyle w:val="Footer"/>
    </w:pPr>
    <w:r w:rsidRPr="00DD2EA9">
      <w:rPr>
        <w:noProof/>
        <w:lang w:eastAsia="en-AU"/>
      </w:rPr>
      <w:drawing>
        <wp:anchor distT="0" distB="0" distL="114300" distR="114300" simplePos="0" relativeHeight="251656192" behindDoc="1" locked="0" layoutInCell="1" allowOverlap="1" wp14:anchorId="144FB2A8" wp14:editId="50858590">
          <wp:simplePos x="0" y="0"/>
          <wp:positionH relativeFrom="page">
            <wp:posOffset>-6985</wp:posOffset>
          </wp:positionH>
          <wp:positionV relativeFrom="page">
            <wp:posOffset>2809875</wp:posOffset>
          </wp:positionV>
          <wp:extent cx="7562850" cy="3846830"/>
          <wp:effectExtent l="19050" t="0" r="0" b="0"/>
          <wp:wrapNone/>
          <wp:docPr id="2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2.jpg"/>
                  <pic:cNvPicPr/>
                </pic:nvPicPr>
                <pic:blipFill>
                  <a:blip r:embed="rId1" cstate="screen">
                    <a:extLst>
                      <a:ext uri="{28A0092B-C50C-407E-A947-70E740481C1C}">
                        <a14:useLocalDpi xmlns:a14="http://schemas.microsoft.com/office/drawing/2010/main"/>
                      </a:ext>
                    </a:extLst>
                  </a:blip>
                  <a:stretch>
                    <a:fillRect/>
                  </a:stretch>
                </pic:blipFill>
                <pic:spPr>
                  <a:xfrm>
                    <a:off x="0" y="0"/>
                    <a:ext cx="7560000" cy="3850048"/>
                  </a:xfrm>
                  <a:prstGeom prst="rect">
                    <a:avLst/>
                  </a:prstGeom>
                </pic:spPr>
              </pic:pic>
            </a:graphicData>
          </a:graphic>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5A793" w14:textId="77777777" w:rsidR="00CA4B5C" w:rsidRPr="00FC2F0B" w:rsidRDefault="00CA4B5C" w:rsidP="00FC2F0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06F58" w14:textId="77777777" w:rsidR="00CA4B5C" w:rsidRPr="00FC2F0B" w:rsidRDefault="00CA4B5C" w:rsidP="00FC2F0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color w:val="auto"/>
        <w:sz w:val="14"/>
        <w:szCs w:val="21"/>
      </w:rPr>
      <w:id w:val="496541390"/>
      <w:docPartObj>
        <w:docPartGallery w:val="Page Numbers (Bottom of Page)"/>
        <w:docPartUnique/>
      </w:docPartObj>
    </w:sdtPr>
    <w:sdtEndPr>
      <w:rPr>
        <w:noProof/>
      </w:rPr>
    </w:sdtEndPr>
    <w:sdtContent>
      <w:p w14:paraId="38C05484" w14:textId="77777777" w:rsidR="00CA4B5C" w:rsidRDefault="00D159D8" w:rsidP="006702C1">
        <w:pPr>
          <w:tabs>
            <w:tab w:val="center" w:pos="4680"/>
            <w:tab w:val="right" w:pos="9360"/>
          </w:tabs>
          <w:spacing w:after="0" w:line="240" w:lineRule="auto"/>
          <w:jc w:val="center"/>
        </w:pPr>
        <w:r>
          <w:pict w14:anchorId="2D61B76F">
            <v:rect id="_x0000_i1026" style="width:468pt;height:1.5pt" o:hralign="center" o:hrstd="t" o:hr="t" fillcolor="#a0a0a0" stroked="f"/>
          </w:pict>
        </w:r>
      </w:p>
      <w:p w14:paraId="45772844" w14:textId="2D494A70" w:rsidR="00CA4B5C" w:rsidRPr="00CC7679" w:rsidRDefault="00CA4B5C" w:rsidP="006702C1">
        <w:pPr>
          <w:pStyle w:val="Footer"/>
          <w:jc w:val="right"/>
        </w:pPr>
        <w:r>
          <w:rPr>
            <w:sz w:val="16"/>
            <w:szCs w:val="16"/>
          </w:rPr>
          <w:t>DRAFT</w:t>
        </w:r>
        <w:r w:rsidRPr="00B46F7A">
          <w:rPr>
            <w:sz w:val="16"/>
            <w:szCs w:val="16"/>
          </w:rPr>
          <w:t xml:space="preserve"> Australian and New Zealand Chiropractic </w:t>
        </w:r>
        <w:r>
          <w:rPr>
            <w:sz w:val="16"/>
            <w:szCs w:val="16"/>
          </w:rPr>
          <w:t>Competency</w:t>
        </w:r>
        <w:r w:rsidRPr="00B46F7A">
          <w:rPr>
            <w:sz w:val="16"/>
            <w:szCs w:val="16"/>
          </w:rPr>
          <w:t xml:space="preserve"> Standards</w:t>
        </w:r>
        <w:r>
          <w:rPr>
            <w:sz w:val="16"/>
            <w:szCs w:val="16"/>
          </w:rPr>
          <w:t xml:space="preserve"> – Council on Chiropractic Education Australasia v2.2</w:t>
        </w:r>
        <w:r>
          <w:rPr>
            <w:sz w:val="16"/>
            <w:szCs w:val="16"/>
          </w:rPr>
          <w:tab/>
        </w:r>
        <w:r>
          <w:fldChar w:fldCharType="begin"/>
        </w:r>
        <w:r>
          <w:instrText xml:space="preserve"> PAGE   \* MERGEFORMAT </w:instrText>
        </w:r>
        <w:r>
          <w:fldChar w:fldCharType="separate"/>
        </w:r>
        <w:r>
          <w:rPr>
            <w:noProof/>
          </w:rPr>
          <w:t>7</w:t>
        </w:r>
        <w:r>
          <w:rPr>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color w:val="auto"/>
        <w:sz w:val="14"/>
        <w:szCs w:val="21"/>
      </w:rPr>
      <w:id w:val="-1222286831"/>
      <w:docPartObj>
        <w:docPartGallery w:val="Page Numbers (Bottom of Page)"/>
        <w:docPartUnique/>
      </w:docPartObj>
    </w:sdtPr>
    <w:sdtEndPr>
      <w:rPr>
        <w:noProof/>
      </w:rPr>
    </w:sdtEndPr>
    <w:sdtContent>
      <w:p w14:paraId="37D0BEA7" w14:textId="77777777" w:rsidR="00CA4B5C" w:rsidRDefault="00D159D8" w:rsidP="006702C1">
        <w:pPr>
          <w:tabs>
            <w:tab w:val="center" w:pos="4680"/>
            <w:tab w:val="right" w:pos="9360"/>
          </w:tabs>
          <w:spacing w:after="0" w:line="240" w:lineRule="auto"/>
          <w:jc w:val="center"/>
        </w:pPr>
        <w:r>
          <w:pict w14:anchorId="18C6FA2A">
            <v:rect id="_x0000_i1027" style="width:468pt;height:1.5pt" o:hralign="center" o:hrstd="t" o:hr="t" fillcolor="#a0a0a0" stroked="f"/>
          </w:pict>
        </w:r>
      </w:p>
      <w:p w14:paraId="5E2EE741" w14:textId="5AC717FD" w:rsidR="00CA4B5C" w:rsidRPr="00CC7679" w:rsidRDefault="00CA4B5C" w:rsidP="006702C1">
        <w:pPr>
          <w:pStyle w:val="Footer"/>
          <w:jc w:val="right"/>
        </w:pPr>
        <w:r>
          <w:rPr>
            <w:sz w:val="16"/>
            <w:szCs w:val="16"/>
          </w:rPr>
          <w:t>DRAFT</w:t>
        </w:r>
        <w:r w:rsidRPr="00B46F7A">
          <w:rPr>
            <w:sz w:val="16"/>
            <w:szCs w:val="16"/>
          </w:rPr>
          <w:t xml:space="preserve"> Australian and New Zealand Chiropractic </w:t>
        </w:r>
        <w:r>
          <w:rPr>
            <w:sz w:val="16"/>
            <w:szCs w:val="16"/>
          </w:rPr>
          <w:t>Competency</w:t>
        </w:r>
        <w:r w:rsidRPr="00B46F7A">
          <w:rPr>
            <w:sz w:val="16"/>
            <w:szCs w:val="16"/>
          </w:rPr>
          <w:t xml:space="preserve"> Standards</w:t>
        </w:r>
        <w:r>
          <w:rPr>
            <w:sz w:val="16"/>
            <w:szCs w:val="16"/>
          </w:rPr>
          <w:t xml:space="preserve"> – Council on Chiropractic Education Australasia v2.2</w:t>
        </w:r>
        <w:r>
          <w:rPr>
            <w:sz w:val="16"/>
            <w:szCs w:val="16"/>
          </w:rPr>
          <w:tab/>
        </w:r>
        <w:r>
          <w:fldChar w:fldCharType="begin"/>
        </w:r>
        <w:r>
          <w:instrText xml:space="preserve"> PAGE   \* MERGEFORMAT </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30A7E" w14:textId="77777777" w:rsidR="004438E2" w:rsidRDefault="004438E2">
      <w:pPr>
        <w:spacing w:after="0" w:line="240" w:lineRule="auto"/>
      </w:pPr>
      <w:r>
        <w:separator/>
      </w:r>
    </w:p>
  </w:footnote>
  <w:footnote w:type="continuationSeparator" w:id="0">
    <w:p w14:paraId="67C4AAB5" w14:textId="77777777" w:rsidR="004438E2" w:rsidRDefault="004438E2">
      <w:pPr>
        <w:spacing w:after="0" w:line="240" w:lineRule="auto"/>
      </w:pPr>
      <w:r>
        <w:continuationSeparator/>
      </w:r>
    </w:p>
  </w:footnote>
  <w:footnote w:id="1">
    <w:p w14:paraId="76B36787" w14:textId="77777777" w:rsidR="00CA4B5C" w:rsidRPr="001E0EE5" w:rsidRDefault="00CA4B5C" w:rsidP="006D0327">
      <w:pPr>
        <w:pStyle w:val="FootnoteText"/>
        <w:spacing w:before="120" w:after="120" w:line="240" w:lineRule="auto"/>
        <w:ind w:left="284" w:hanging="284"/>
        <w:rPr>
          <w:sz w:val="14"/>
          <w:szCs w:val="14"/>
        </w:rPr>
      </w:pPr>
      <w:r w:rsidRPr="001E0EE5">
        <w:rPr>
          <w:rStyle w:val="FootnoteReference"/>
          <w:sz w:val="14"/>
          <w:szCs w:val="14"/>
        </w:rPr>
        <w:footnoteRef/>
      </w:r>
      <w:r w:rsidRPr="001E0EE5">
        <w:rPr>
          <w:sz w:val="14"/>
          <w:szCs w:val="14"/>
        </w:rPr>
        <w:t xml:space="preserve"> </w:t>
      </w:r>
      <w:r w:rsidRPr="001E0EE5">
        <w:rPr>
          <w:sz w:val="14"/>
          <w:szCs w:val="14"/>
        </w:rPr>
        <w:tab/>
        <w:t xml:space="preserve">Paper developed by the </w:t>
      </w:r>
      <w:r>
        <w:rPr>
          <w:sz w:val="14"/>
          <w:szCs w:val="14"/>
        </w:rPr>
        <w:t xml:space="preserve">Australian </w:t>
      </w:r>
      <w:r w:rsidRPr="001E0EE5">
        <w:rPr>
          <w:sz w:val="14"/>
          <w:szCs w:val="14"/>
        </w:rPr>
        <w:t>Accreditation Liaison Group as background for the NRAS Review; July 2014.</w:t>
      </w:r>
    </w:p>
  </w:footnote>
  <w:footnote w:id="2">
    <w:p w14:paraId="5B97A4BF" w14:textId="77777777" w:rsidR="00CA4B5C" w:rsidRPr="001E0EE5" w:rsidRDefault="00CA4B5C" w:rsidP="006D0327">
      <w:pPr>
        <w:pStyle w:val="FootnoteText"/>
        <w:tabs>
          <w:tab w:val="left" w:pos="284"/>
        </w:tabs>
        <w:spacing w:before="120" w:after="120" w:line="240" w:lineRule="auto"/>
        <w:ind w:left="284" w:hanging="284"/>
        <w:rPr>
          <w:sz w:val="14"/>
          <w:szCs w:val="14"/>
        </w:rPr>
      </w:pPr>
      <w:r w:rsidRPr="001E0EE5">
        <w:rPr>
          <w:rStyle w:val="FootnoteReference"/>
          <w:sz w:val="14"/>
          <w:szCs w:val="14"/>
        </w:rPr>
        <w:footnoteRef/>
      </w:r>
      <w:r w:rsidRPr="001E0EE5">
        <w:rPr>
          <w:sz w:val="14"/>
          <w:szCs w:val="14"/>
        </w:rPr>
        <w:t xml:space="preserve"> </w:t>
      </w:r>
      <w:r w:rsidRPr="001E0EE5">
        <w:rPr>
          <w:sz w:val="14"/>
          <w:szCs w:val="14"/>
        </w:rPr>
        <w:tab/>
        <w:t xml:space="preserve">Section 3(2)(a) </w:t>
      </w:r>
      <w:r w:rsidRPr="001E0EE5">
        <w:rPr>
          <w:i/>
          <w:sz w:val="14"/>
          <w:szCs w:val="14"/>
        </w:rPr>
        <w:t>Health Practitioner Regulation National Law Act 2009</w:t>
      </w:r>
      <w:r w:rsidRPr="001E0EE5">
        <w:rPr>
          <w:sz w:val="14"/>
          <w:szCs w:val="14"/>
        </w:rPr>
        <w:t xml:space="preserve"> (the National Law) as in force in each state and territory in Australia.</w:t>
      </w:r>
    </w:p>
  </w:footnote>
  <w:footnote w:id="3">
    <w:p w14:paraId="63981338" w14:textId="77777777" w:rsidR="00CA4B5C" w:rsidRPr="001E0EE5" w:rsidRDefault="00CA4B5C" w:rsidP="006D0327">
      <w:pPr>
        <w:pStyle w:val="FootnoteText"/>
        <w:tabs>
          <w:tab w:val="left" w:pos="284"/>
        </w:tabs>
        <w:spacing w:before="120" w:after="120" w:line="240" w:lineRule="auto"/>
        <w:rPr>
          <w:sz w:val="14"/>
          <w:szCs w:val="14"/>
        </w:rPr>
      </w:pPr>
      <w:r w:rsidRPr="001E0EE5">
        <w:rPr>
          <w:rStyle w:val="FootnoteReference"/>
          <w:sz w:val="14"/>
          <w:szCs w:val="14"/>
        </w:rPr>
        <w:footnoteRef/>
      </w:r>
      <w:r w:rsidRPr="001E0EE5">
        <w:rPr>
          <w:sz w:val="14"/>
          <w:szCs w:val="14"/>
        </w:rPr>
        <w:t xml:space="preserve"> </w:t>
      </w:r>
      <w:r w:rsidRPr="001E0EE5">
        <w:rPr>
          <w:sz w:val="14"/>
          <w:szCs w:val="14"/>
        </w:rPr>
        <w:tab/>
        <w:t xml:space="preserve">Section 3(2)(c) National Law. </w:t>
      </w:r>
    </w:p>
  </w:footnote>
  <w:footnote w:id="4">
    <w:p w14:paraId="5C263165" w14:textId="77777777" w:rsidR="00CA4B5C" w:rsidRPr="001E0EE5" w:rsidRDefault="00CA4B5C" w:rsidP="006D0327">
      <w:pPr>
        <w:pStyle w:val="FootnoteText"/>
        <w:tabs>
          <w:tab w:val="left" w:pos="284"/>
        </w:tabs>
        <w:spacing w:before="120" w:after="120" w:line="240" w:lineRule="auto"/>
        <w:ind w:left="284" w:hanging="284"/>
        <w:rPr>
          <w:sz w:val="14"/>
          <w:szCs w:val="14"/>
        </w:rPr>
      </w:pPr>
      <w:r w:rsidRPr="001E0EE5">
        <w:rPr>
          <w:rStyle w:val="FootnoteReference"/>
          <w:sz w:val="14"/>
          <w:szCs w:val="14"/>
        </w:rPr>
        <w:footnoteRef/>
      </w:r>
      <w:r w:rsidRPr="001E0EE5">
        <w:rPr>
          <w:sz w:val="14"/>
          <w:szCs w:val="14"/>
        </w:rPr>
        <w:t xml:space="preserve"> </w:t>
      </w:r>
      <w:r w:rsidRPr="001E0EE5">
        <w:rPr>
          <w:sz w:val="14"/>
          <w:szCs w:val="14"/>
        </w:rPr>
        <w:tab/>
        <w:t>Pro</w:t>
      </w:r>
      <w:r>
        <w:rPr>
          <w:sz w:val="14"/>
          <w:szCs w:val="14"/>
        </w:rPr>
        <w:t xml:space="preserve">fessions Australia (June 2008) </w:t>
      </w:r>
      <w:r w:rsidRPr="001E0EE5">
        <w:rPr>
          <w:i/>
          <w:sz w:val="14"/>
          <w:szCs w:val="14"/>
        </w:rPr>
        <w:t>Standards for Professional Accreditation Processes</w:t>
      </w:r>
      <w:r w:rsidRPr="001E0EE5">
        <w:rPr>
          <w:sz w:val="14"/>
          <w:szCs w:val="14"/>
        </w:rPr>
        <w:t xml:space="preserve">, 3; Professions Australia (2008) </w:t>
      </w:r>
      <w:r w:rsidRPr="001E0EE5">
        <w:rPr>
          <w:i/>
          <w:sz w:val="14"/>
          <w:szCs w:val="14"/>
        </w:rPr>
        <w:t xml:space="preserve">Standards for Professional Accreditation Processes; </w:t>
      </w:r>
      <w:r w:rsidRPr="001E0EE5">
        <w:rPr>
          <w:sz w:val="14"/>
          <w:szCs w:val="14"/>
        </w:rPr>
        <w:t xml:space="preserve">cited in Forum of Australian Health Professions Councils and the Australian Health Practitioner Regulatory Authority (2013) </w:t>
      </w:r>
      <w:r w:rsidRPr="001E0EE5">
        <w:rPr>
          <w:i/>
          <w:sz w:val="14"/>
          <w:szCs w:val="14"/>
        </w:rPr>
        <w:t>Quality Framework for the Accreditation Function</w:t>
      </w:r>
      <w:r w:rsidRPr="001E0EE5">
        <w:rPr>
          <w:sz w:val="14"/>
          <w:szCs w:val="14"/>
        </w:rPr>
        <w:t>, 1.</w:t>
      </w:r>
    </w:p>
  </w:footnote>
  <w:footnote w:id="5">
    <w:p w14:paraId="4041D8AB" w14:textId="77777777" w:rsidR="00CA4B5C" w:rsidRPr="00967701" w:rsidRDefault="00CA4B5C" w:rsidP="006D0327">
      <w:pPr>
        <w:pStyle w:val="FootnoteText"/>
        <w:tabs>
          <w:tab w:val="left" w:pos="284"/>
        </w:tabs>
        <w:spacing w:before="120" w:after="120" w:line="240" w:lineRule="auto"/>
        <w:ind w:left="284" w:hanging="284"/>
        <w:rPr>
          <w:szCs w:val="16"/>
        </w:rPr>
      </w:pPr>
      <w:r>
        <w:rPr>
          <w:rStyle w:val="FootnoteReference"/>
        </w:rPr>
        <w:footnoteRef/>
      </w:r>
      <w:r>
        <w:t xml:space="preserve"> </w:t>
      </w:r>
      <w:r>
        <w:tab/>
      </w:r>
      <w:r w:rsidRPr="001E0EE5">
        <w:rPr>
          <w:sz w:val="14"/>
          <w:szCs w:val="14"/>
        </w:rPr>
        <w:t xml:space="preserve">Adapted from: Australian Council on Health Care Standards Website (2015) </w:t>
      </w:r>
      <w:r w:rsidRPr="001E0EE5">
        <w:rPr>
          <w:i/>
          <w:sz w:val="14"/>
          <w:szCs w:val="14"/>
        </w:rPr>
        <w:t>What is Accreditation?</w:t>
      </w:r>
      <w:r w:rsidRPr="001E0EE5">
        <w:rPr>
          <w:sz w:val="14"/>
          <w:szCs w:val="14"/>
        </w:rPr>
        <w:t xml:space="preserve"> </w:t>
      </w:r>
    </w:p>
  </w:footnote>
  <w:footnote w:id="6">
    <w:p w14:paraId="3921DDF4" w14:textId="0D4B369B" w:rsidR="00CA4B5C" w:rsidRPr="000734A7" w:rsidRDefault="00CA4B5C" w:rsidP="008E717B">
      <w:pPr>
        <w:pStyle w:val="FootnoteText"/>
        <w:tabs>
          <w:tab w:val="left" w:pos="284"/>
        </w:tabs>
        <w:ind w:left="284" w:hanging="284"/>
      </w:pPr>
      <w:r w:rsidRPr="00C41F6D">
        <w:rPr>
          <w:rStyle w:val="FootnoteReference"/>
        </w:rPr>
        <w:footnoteRef/>
      </w:r>
      <w:r w:rsidRPr="00C41F6D">
        <w:tab/>
        <w:t>With guidance provided by relevant national standards and guidelines</w:t>
      </w:r>
      <w:r>
        <w:t>—for, example,</w:t>
      </w:r>
      <w:r w:rsidRPr="00C41F6D">
        <w:t xml:space="preserve"> </w:t>
      </w:r>
      <w:r w:rsidRPr="00C41F6D">
        <w:rPr>
          <w:i/>
        </w:rPr>
        <w:t xml:space="preserve">Aboriginal and Torres Strait Islander Health Curriculum Framework </w:t>
      </w:r>
      <w:r w:rsidRPr="00C41F6D">
        <w:t xml:space="preserve">(2016). </w:t>
      </w:r>
    </w:p>
  </w:footnote>
  <w:footnote w:id="7">
    <w:p w14:paraId="634CBE91" w14:textId="77777777" w:rsidR="00CA4B5C" w:rsidRPr="00621248" w:rsidRDefault="00CA4B5C" w:rsidP="00624805">
      <w:pPr>
        <w:pStyle w:val="FootnoteText"/>
        <w:spacing w:before="120" w:after="120" w:line="240" w:lineRule="auto"/>
        <w:ind w:left="142" w:hanging="142"/>
        <w:rPr>
          <w:rFonts w:asciiTheme="minorHAnsi" w:hAnsiTheme="minorHAnsi"/>
        </w:rPr>
      </w:pPr>
      <w:r>
        <w:rPr>
          <w:rStyle w:val="FootnoteReference"/>
        </w:rPr>
        <w:footnoteRef/>
      </w:r>
      <w:r>
        <w:t xml:space="preserve"> </w:t>
      </w:r>
      <w:r>
        <w:rPr>
          <w:rFonts w:asciiTheme="minorHAnsi" w:hAnsiTheme="minorHAnsi"/>
        </w:rPr>
        <w:t>‘Others’</w:t>
      </w:r>
      <w:r w:rsidRPr="00621248">
        <w:rPr>
          <w:rFonts w:asciiTheme="minorHAnsi" w:hAnsiTheme="minorHAnsi"/>
        </w:rPr>
        <w:t xml:space="preserve"> includes any </w:t>
      </w:r>
      <w:r w:rsidRPr="00621248">
        <w:rPr>
          <w:rFonts w:asciiTheme="minorHAnsi" w:hAnsiTheme="minorHAnsi"/>
          <w:lang w:val="en-US"/>
        </w:rPr>
        <w:t xml:space="preserve">agencies and individuals relevant to practising professionally such as </w:t>
      </w:r>
      <w:r>
        <w:rPr>
          <w:rFonts w:asciiTheme="minorHAnsi" w:hAnsiTheme="minorHAnsi"/>
          <w:lang w:val="en-US"/>
        </w:rPr>
        <w:t xml:space="preserve">carers, families, </w:t>
      </w:r>
      <w:r w:rsidRPr="00C41F6D">
        <w:rPr>
          <w:rFonts w:asciiTheme="minorHAnsi" w:hAnsiTheme="minorHAnsi"/>
          <w:lang w:val="en-US"/>
        </w:rPr>
        <w:t>students</w:t>
      </w:r>
      <w:r>
        <w:rPr>
          <w:rFonts w:asciiTheme="minorHAnsi" w:hAnsiTheme="minorHAnsi"/>
          <w:lang w:val="en-US"/>
        </w:rPr>
        <w:t xml:space="preserve">, </w:t>
      </w:r>
      <w:r w:rsidRPr="00621248">
        <w:rPr>
          <w:rFonts w:asciiTheme="minorHAnsi" w:hAnsiTheme="minorHAnsi"/>
          <w:lang w:val="en-US"/>
        </w:rPr>
        <w:t>other health professionals, judicial officers and courts, regulatory agencies and the community.</w:t>
      </w:r>
    </w:p>
  </w:footnote>
  <w:footnote w:id="8">
    <w:p w14:paraId="1237B438" w14:textId="77777777" w:rsidR="00CA4B5C" w:rsidRPr="005A63A1" w:rsidRDefault="00CA4B5C" w:rsidP="00624805">
      <w:pPr>
        <w:pStyle w:val="FootnoteText"/>
        <w:spacing w:before="120" w:after="120" w:line="240" w:lineRule="auto"/>
        <w:ind w:left="142" w:hanging="142"/>
        <w:rPr>
          <w:rFonts w:asciiTheme="minorHAnsi" w:hAnsiTheme="minorHAnsi"/>
        </w:rPr>
      </w:pPr>
      <w:r>
        <w:rPr>
          <w:rStyle w:val="FootnoteReference"/>
        </w:rPr>
        <w:footnoteRef/>
      </w:r>
      <w:r>
        <w:t xml:space="preserve"> </w:t>
      </w:r>
      <w:r w:rsidRPr="005A63A1">
        <w:rPr>
          <w:rFonts w:asciiTheme="minorHAnsi" w:hAnsiTheme="minorHAnsi"/>
        </w:rPr>
        <w:t>‘Related circumstances’ refers to the person’s social, cultural and economic situation that may influence the care and treatment options available.</w:t>
      </w:r>
    </w:p>
  </w:footnote>
  <w:footnote w:id="9">
    <w:p w14:paraId="7E097F43" w14:textId="01EE12E0" w:rsidR="00CA4B5C" w:rsidRPr="005209F8" w:rsidRDefault="00CA4B5C" w:rsidP="00664A94">
      <w:pPr>
        <w:pStyle w:val="FootnoteText"/>
        <w:tabs>
          <w:tab w:val="left" w:pos="284"/>
        </w:tabs>
        <w:ind w:left="284" w:hanging="284"/>
      </w:pPr>
      <w:r>
        <w:rPr>
          <w:rStyle w:val="FootnoteReference"/>
        </w:rPr>
        <w:footnoteRef/>
      </w:r>
      <w:r>
        <w:tab/>
        <w:t xml:space="preserve">Australian Medical Council (2012) ‘Graduate outcome statement 4.4’, </w:t>
      </w:r>
      <w:r>
        <w:rPr>
          <w:i/>
        </w:rPr>
        <w:t>Standards for Assessment and Accreditation of Primary Medical Programs by the Australian Medical Council 2012,</w:t>
      </w:r>
      <w:r>
        <w:t xml:space="preserve"> p 4.</w:t>
      </w:r>
    </w:p>
  </w:footnote>
  <w:footnote w:id="10">
    <w:p w14:paraId="4D643303" w14:textId="4AD1EF6D" w:rsidR="00CA4B5C" w:rsidRPr="00621248" w:rsidRDefault="00CA4B5C" w:rsidP="004C112D">
      <w:pPr>
        <w:pStyle w:val="FootnoteText"/>
        <w:spacing w:after="0"/>
        <w:ind w:left="284" w:hanging="284"/>
        <w:rPr>
          <w:rFonts w:asciiTheme="minorHAnsi" w:hAnsiTheme="minorHAnsi"/>
        </w:rPr>
      </w:pPr>
      <w:r>
        <w:rPr>
          <w:rStyle w:val="FootnoteReference"/>
        </w:rPr>
        <w:footnoteRef/>
      </w:r>
      <w:r>
        <w:tab/>
      </w:r>
      <w:r>
        <w:rPr>
          <w:rFonts w:asciiTheme="minorHAnsi" w:hAnsiTheme="minorHAnsi"/>
        </w:rPr>
        <w:t>‘Others’</w:t>
      </w:r>
      <w:r w:rsidRPr="00621248">
        <w:rPr>
          <w:rFonts w:asciiTheme="minorHAnsi" w:hAnsiTheme="minorHAnsi"/>
        </w:rPr>
        <w:t xml:space="preserve"> includes </w:t>
      </w:r>
      <w:r w:rsidRPr="00621248">
        <w:rPr>
          <w:rFonts w:asciiTheme="minorHAnsi" w:hAnsiTheme="minorHAnsi"/>
          <w:lang w:val="en-US"/>
        </w:rPr>
        <w:t>agencies and individuals relevant to practising professionally</w:t>
      </w:r>
      <w:r>
        <w:rPr>
          <w:rFonts w:asciiTheme="minorHAnsi" w:hAnsiTheme="minorHAnsi"/>
          <w:lang w:val="en-US"/>
        </w:rPr>
        <w:t>,</w:t>
      </w:r>
      <w:r w:rsidRPr="00621248">
        <w:rPr>
          <w:rFonts w:asciiTheme="minorHAnsi" w:hAnsiTheme="minorHAnsi"/>
          <w:lang w:val="en-US"/>
        </w:rPr>
        <w:t xml:space="preserve"> such as </w:t>
      </w:r>
      <w:r>
        <w:rPr>
          <w:rFonts w:asciiTheme="minorHAnsi" w:hAnsiTheme="minorHAnsi"/>
          <w:lang w:val="en-US"/>
        </w:rPr>
        <w:t xml:space="preserve">carers, families, </w:t>
      </w:r>
      <w:r w:rsidRPr="00664A94">
        <w:rPr>
          <w:rFonts w:asciiTheme="minorHAnsi" w:hAnsiTheme="minorHAnsi"/>
          <w:lang w:val="en-US"/>
        </w:rPr>
        <w:t>students,</w:t>
      </w:r>
      <w:r>
        <w:rPr>
          <w:rFonts w:asciiTheme="minorHAnsi" w:hAnsiTheme="minorHAnsi"/>
          <w:lang w:val="en-US"/>
        </w:rPr>
        <w:t xml:space="preserve"> </w:t>
      </w:r>
      <w:r w:rsidRPr="00621248">
        <w:rPr>
          <w:rFonts w:asciiTheme="minorHAnsi" w:hAnsiTheme="minorHAnsi"/>
          <w:lang w:val="en-US"/>
        </w:rPr>
        <w:t>other health professionals, judicial officers and courts, regulatory agencies and the community.</w:t>
      </w:r>
    </w:p>
  </w:footnote>
  <w:footnote w:id="11">
    <w:p w14:paraId="1805D5BB" w14:textId="3FCC218B" w:rsidR="00CA4B5C" w:rsidRDefault="00CA4B5C" w:rsidP="00213D83">
      <w:pPr>
        <w:pStyle w:val="FootnoteText"/>
        <w:tabs>
          <w:tab w:val="left" w:pos="284"/>
        </w:tabs>
        <w:spacing w:before="120" w:after="120" w:line="240" w:lineRule="auto"/>
        <w:ind w:left="284" w:hanging="284"/>
      </w:pPr>
      <w:r>
        <w:rPr>
          <w:rStyle w:val="FootnoteReference"/>
        </w:rPr>
        <w:footnoteRef/>
      </w:r>
      <w:r>
        <w:tab/>
        <w:t xml:space="preserve">Adapted from </w:t>
      </w:r>
      <w:r w:rsidRPr="00213D83">
        <w:t xml:space="preserve">Australian Medical Council (2012) ‘Graduate outcome statement </w:t>
      </w:r>
      <w:r>
        <w:t>3.1</w:t>
      </w:r>
      <w:r w:rsidRPr="00213D83">
        <w:t>’</w:t>
      </w:r>
      <w:r>
        <w:t>,</w:t>
      </w:r>
      <w:r w:rsidRPr="00213D83">
        <w:t xml:space="preserve"> </w:t>
      </w:r>
      <w:r w:rsidRPr="00213D83">
        <w:rPr>
          <w:i/>
        </w:rPr>
        <w:t>Standards for Assessment and Accreditation of Primary Medical Programs by the A</w:t>
      </w:r>
      <w:r>
        <w:rPr>
          <w:i/>
        </w:rPr>
        <w:t>ustralian Medical Council 2012</w:t>
      </w:r>
      <w:r w:rsidRPr="00213D83">
        <w:rPr>
          <w:i/>
        </w:rPr>
        <w:t>,</w:t>
      </w:r>
      <w:r>
        <w:t xml:space="preserve"> p 3</w:t>
      </w:r>
      <w:r w:rsidRPr="00213D83">
        <w:t>.</w:t>
      </w:r>
    </w:p>
  </w:footnote>
  <w:footnote w:id="12">
    <w:p w14:paraId="32E52008" w14:textId="185B75A1" w:rsidR="00CA4B5C" w:rsidRDefault="00CA4B5C" w:rsidP="00213D83">
      <w:pPr>
        <w:pStyle w:val="FootnoteText"/>
        <w:tabs>
          <w:tab w:val="left" w:pos="284"/>
        </w:tabs>
        <w:spacing w:before="120" w:after="120" w:line="240" w:lineRule="auto"/>
      </w:pPr>
      <w:r>
        <w:rPr>
          <w:rStyle w:val="FootnoteReference"/>
        </w:rPr>
        <w:footnoteRef/>
      </w:r>
      <w:r>
        <w:tab/>
        <w:t>Ibid,</w:t>
      </w:r>
      <w:r w:rsidRPr="00213D83">
        <w:t xml:space="preserve"> ‘Graduate outcome statement </w:t>
      </w:r>
      <w:r>
        <w:t>2.10, p 3.</w:t>
      </w:r>
    </w:p>
  </w:footnote>
  <w:footnote w:id="13">
    <w:p w14:paraId="1B0A961F" w14:textId="08B415F4" w:rsidR="00CA4B5C" w:rsidRDefault="00CA4B5C" w:rsidP="00213D83">
      <w:pPr>
        <w:pStyle w:val="FootnoteText"/>
        <w:tabs>
          <w:tab w:val="left" w:pos="284"/>
        </w:tabs>
        <w:spacing w:before="120" w:after="120" w:line="240" w:lineRule="auto"/>
      </w:pPr>
      <w:r>
        <w:rPr>
          <w:rStyle w:val="FootnoteReference"/>
        </w:rPr>
        <w:footnoteRef/>
      </w:r>
      <w:r>
        <w:tab/>
        <w:t>ibid,</w:t>
      </w:r>
      <w:r w:rsidRPr="00213D83">
        <w:t xml:space="preserve"> ‘Graduate outcome statement 2.1</w:t>
      </w:r>
      <w:r>
        <w:t>4</w:t>
      </w:r>
      <w:r w:rsidRPr="00213D83">
        <w:t xml:space="preserve">, </w:t>
      </w:r>
      <w:r>
        <w:t xml:space="preserve">p </w:t>
      </w:r>
      <w:r w:rsidRPr="00213D83">
        <w:t>3.</w:t>
      </w:r>
    </w:p>
  </w:footnote>
  <w:footnote w:id="14">
    <w:p w14:paraId="002DD41F" w14:textId="77777777" w:rsidR="00CA4B5C" w:rsidRPr="005A63A1" w:rsidRDefault="00CA4B5C" w:rsidP="00325B98">
      <w:pPr>
        <w:pStyle w:val="FootnoteText"/>
        <w:spacing w:after="0" w:line="240" w:lineRule="auto"/>
        <w:ind w:left="142" w:hanging="142"/>
        <w:rPr>
          <w:rFonts w:asciiTheme="minorHAnsi" w:hAnsiTheme="minorHAnsi"/>
        </w:rPr>
      </w:pPr>
      <w:r>
        <w:rPr>
          <w:rStyle w:val="FootnoteReference"/>
        </w:rPr>
        <w:footnoteRef/>
      </w:r>
      <w:r>
        <w:t xml:space="preserve"> </w:t>
      </w:r>
      <w:r w:rsidRPr="005A63A1">
        <w:rPr>
          <w:rFonts w:asciiTheme="minorHAnsi" w:hAnsiTheme="minorHAnsi"/>
        </w:rPr>
        <w:t>‘Related circumstances’ refers to the person’s social, cultural and economic situation that may influence the care and treatment options available.</w:t>
      </w:r>
    </w:p>
  </w:footnote>
  <w:footnote w:id="15">
    <w:p w14:paraId="792F46DB" w14:textId="77777777" w:rsidR="00CA4B5C" w:rsidRPr="00AB2B92" w:rsidRDefault="00CA4B5C" w:rsidP="00C7597C">
      <w:pPr>
        <w:pStyle w:val="FootnoteText"/>
        <w:tabs>
          <w:tab w:val="left" w:pos="284"/>
        </w:tabs>
        <w:ind w:left="284" w:hanging="284"/>
        <w:rPr>
          <w:rFonts w:asciiTheme="minorHAnsi" w:hAnsiTheme="minorHAnsi" w:cstheme="minorHAnsi"/>
        </w:rPr>
      </w:pPr>
      <w:r>
        <w:rPr>
          <w:rStyle w:val="FootnoteReference"/>
        </w:rPr>
        <w:footnoteRef/>
      </w:r>
      <w:r>
        <w:tab/>
      </w:r>
      <w:r w:rsidRPr="00AB2B92">
        <w:rPr>
          <w:rFonts w:asciiTheme="minorHAnsi" w:hAnsiTheme="minorHAnsi" w:cstheme="minorHAnsi"/>
        </w:rPr>
        <w:t xml:space="preserve">Sackett DL, Straus SE, Richardson WS et al. (2000) </w:t>
      </w:r>
      <w:r w:rsidRPr="00AB2B92">
        <w:rPr>
          <w:rFonts w:asciiTheme="minorHAnsi" w:hAnsiTheme="minorHAnsi" w:cstheme="minorHAnsi"/>
          <w:i/>
        </w:rPr>
        <w:t>Evidence-Based Medicine. How to practice and teach EBM</w:t>
      </w:r>
      <w:r w:rsidRPr="00AB2B92">
        <w:rPr>
          <w:rFonts w:asciiTheme="minorHAnsi" w:hAnsiTheme="minorHAnsi" w:cstheme="minorHAnsi"/>
        </w:rPr>
        <w:t>. Edinburgh: Churchill Livingstone, 1</w:t>
      </w:r>
      <w:r>
        <w:rPr>
          <w:rFonts w:asciiTheme="minorHAnsi" w:hAnsiTheme="minorHAnsi" w:cstheme="minorHAnsi"/>
        </w:rPr>
        <w:t>.</w:t>
      </w:r>
    </w:p>
  </w:footnote>
  <w:footnote w:id="16">
    <w:p w14:paraId="25BE3619" w14:textId="77777777" w:rsidR="00CA4B5C" w:rsidRDefault="00CA4B5C" w:rsidP="00CD171C">
      <w:pPr>
        <w:pStyle w:val="FootnoteText"/>
        <w:tabs>
          <w:tab w:val="left" w:pos="284"/>
        </w:tabs>
        <w:spacing w:after="120"/>
      </w:pPr>
      <w:r>
        <w:rPr>
          <w:rStyle w:val="FootnoteReference"/>
        </w:rPr>
        <w:footnoteRef/>
      </w:r>
      <w:r>
        <w:t xml:space="preserve"> </w:t>
      </w:r>
      <w:r>
        <w:tab/>
        <w:t>Code of conduct for chiropractors. Chiropractic Board of Australia. March 2014.</w:t>
      </w:r>
    </w:p>
  </w:footnote>
  <w:footnote w:id="17">
    <w:p w14:paraId="0D2E2C96" w14:textId="77777777" w:rsidR="00CA4B5C" w:rsidRDefault="00CA4B5C" w:rsidP="006702C1">
      <w:pPr>
        <w:pStyle w:val="FootnoteText"/>
        <w:tabs>
          <w:tab w:val="left" w:pos="284"/>
        </w:tabs>
        <w:spacing w:before="120" w:after="120"/>
        <w:ind w:left="284" w:hanging="284"/>
      </w:pPr>
      <w:r>
        <w:rPr>
          <w:rStyle w:val="FootnoteReference"/>
        </w:rPr>
        <w:footnoteRef/>
      </w:r>
      <w:r>
        <w:t xml:space="preserve"> </w:t>
      </w:r>
      <w:r>
        <w:tab/>
        <w:t xml:space="preserve">Primary Health Care Research and Information Service (2015). PHCRIS Getting Started Guides: Introduction to… Primary Health Care. From </w:t>
      </w:r>
      <w:hyperlink r:id="rId1" w:history="1">
        <w:r w:rsidRPr="00384764">
          <w:rPr>
            <w:rStyle w:val="Hyperlink"/>
            <w:sz w:val="16"/>
          </w:rPr>
          <w:t>http://www.phcris.org.au/guides/about_phc.php</w:t>
        </w:r>
      </w:hyperlink>
      <w:r>
        <w:t xml:space="preserve"> (accessed 8 Dec 2015)</w:t>
      </w:r>
    </w:p>
  </w:footnote>
  <w:footnote w:id="18">
    <w:p w14:paraId="3F711F41" w14:textId="77777777" w:rsidR="00CA4B5C" w:rsidRPr="007E6692" w:rsidRDefault="00CA4B5C" w:rsidP="006702C1">
      <w:pPr>
        <w:pStyle w:val="FootnoteText"/>
        <w:tabs>
          <w:tab w:val="left" w:pos="284"/>
        </w:tabs>
        <w:spacing w:before="120" w:after="120"/>
        <w:ind w:left="284" w:hanging="284"/>
      </w:pPr>
      <w:r>
        <w:rPr>
          <w:rStyle w:val="FootnoteReference"/>
        </w:rPr>
        <w:footnoteRef/>
      </w:r>
      <w:r>
        <w:rPr>
          <w:szCs w:val="16"/>
        </w:rPr>
        <w:tab/>
      </w:r>
      <w:r w:rsidRPr="00D73880">
        <w:rPr>
          <w:szCs w:val="16"/>
        </w:rPr>
        <w:t xml:space="preserve">Department of Innovation, Industry, Science and Research (2010) </w:t>
      </w:r>
      <w:r w:rsidRPr="00D73880">
        <w:rPr>
          <w:i/>
          <w:szCs w:val="16"/>
        </w:rPr>
        <w:t>Review of the Category 2 Research Income under the Higher Education Research Data Collection</w:t>
      </w:r>
      <w:r w:rsidRPr="00D73880">
        <w:rPr>
          <w:szCs w:val="16"/>
        </w:rPr>
        <w:t>, 2</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8EDFC" w14:textId="3A7A5542" w:rsidR="00105B36" w:rsidRDefault="00105B3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BA63F" w14:textId="5A89A0DB" w:rsidR="00105B36" w:rsidRDefault="00105B3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5176C" w14:textId="6CECCB65" w:rsidR="00105B36" w:rsidRDefault="00105B3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AF24F" w14:textId="29988095" w:rsidR="00105B36" w:rsidRDefault="00105B3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27FB5" w14:textId="6D048E1B" w:rsidR="00105B36" w:rsidRDefault="00105B3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93FD4" w14:textId="62CCA455" w:rsidR="00105B36" w:rsidRDefault="00105B3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47DC7" w14:textId="5343D9BA" w:rsidR="00105B36" w:rsidRDefault="00105B3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C161B" w14:textId="45E58A95" w:rsidR="00105B36" w:rsidRDefault="00105B3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787C2" w14:textId="120247BB" w:rsidR="00105B36" w:rsidRDefault="00105B3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3A5BD" w14:textId="5FC93AE7" w:rsidR="00105B36" w:rsidRDefault="00105B36">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3658A" w14:textId="4E75EE9E" w:rsidR="00105B36" w:rsidRDefault="00105B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9682E" w14:textId="022590CF" w:rsidR="00CA4B5C" w:rsidRPr="00A63107" w:rsidRDefault="00CA4B5C" w:rsidP="00833662">
    <w:pPr>
      <w:pStyle w:val="Header"/>
      <w:pBdr>
        <w:bottom w:val="none" w:sz="0" w:space="0" w:color="auto"/>
      </w:pBdr>
      <w:rPr>
        <w:b w:val="0"/>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3A5DA" w14:textId="1D501538" w:rsidR="00CA4B5C" w:rsidRPr="00833662" w:rsidRDefault="00CA4B5C" w:rsidP="00833662">
    <w:pPr>
      <w:pStyle w:val="Header"/>
      <w:pBdr>
        <w:bottom w:val="none" w:sz="0" w:space="0" w:color="auto"/>
      </w:pBdr>
    </w:pPr>
    <w:r>
      <w:rPr>
        <w:noProof/>
        <w:lang w:eastAsia="en-AU"/>
      </w:rPr>
      <w:drawing>
        <wp:anchor distT="0" distB="0" distL="114300" distR="114300" simplePos="0" relativeHeight="251658240" behindDoc="1" locked="0" layoutInCell="1" allowOverlap="1" wp14:anchorId="2477D2C2" wp14:editId="23DD2A7B">
          <wp:simplePos x="0" y="0"/>
          <wp:positionH relativeFrom="column">
            <wp:posOffset>-914400</wp:posOffset>
          </wp:positionH>
          <wp:positionV relativeFrom="paragraph">
            <wp:posOffset>-620395</wp:posOffset>
          </wp:positionV>
          <wp:extent cx="7562088" cy="10692384"/>
          <wp:effectExtent l="0" t="0" r="762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back23.jpg"/>
                  <pic:cNvPicPr/>
                </pic:nvPicPr>
                <pic:blipFill>
                  <a:blip r:embed="rId1" cstate="screen">
                    <a:extLst>
                      <a:ext uri="{28A0092B-C50C-407E-A947-70E740481C1C}">
                        <a14:useLocalDpi xmlns:a14="http://schemas.microsoft.com/office/drawing/2010/main"/>
                      </a:ext>
                    </a:extLst>
                  </a:blip>
                  <a:stretch>
                    <a:fillRect/>
                  </a:stretch>
                </pic:blipFill>
                <pic:spPr>
                  <a:xfrm>
                    <a:off x="0" y="0"/>
                    <a:ext cx="7562088" cy="10692384"/>
                  </a:xfrm>
                  <a:prstGeom prst="rect">
                    <a:avLst/>
                  </a:prstGeom>
                </pic:spPr>
              </pic:pic>
            </a:graphicData>
          </a:graphic>
          <wp14:sizeRelH relativeFrom="page">
            <wp14:pctWidth>0</wp14:pctWidth>
          </wp14:sizeRelH>
          <wp14:sizeRelV relativeFrom="page">
            <wp14:pctHeight>0</wp14:pctHeight>
          </wp14:sizeRelV>
        </wp:anchor>
      </w:drawing>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5423E" w14:textId="7C867CFD" w:rsidR="00105B36" w:rsidRDefault="00105B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C459F" w14:textId="0A961398" w:rsidR="00CA4B5C" w:rsidRDefault="00CA4B5C" w:rsidP="00C67420">
    <w:pPr>
      <w:pStyle w:val="Header"/>
      <w:pBdr>
        <w:bottom w:val="none" w:sz="0" w:space="0" w:color="auto"/>
      </w:pBdr>
    </w:pPr>
    <w:r>
      <w:rPr>
        <w:noProof/>
        <w:lang w:eastAsia="en-AU"/>
      </w:rPr>
      <w:drawing>
        <wp:anchor distT="0" distB="0" distL="114300" distR="114300" simplePos="0" relativeHeight="251657216" behindDoc="1" locked="0" layoutInCell="1" allowOverlap="1" wp14:anchorId="0E87F54E" wp14:editId="10DA7D2B">
          <wp:simplePos x="0" y="0"/>
          <wp:positionH relativeFrom="column">
            <wp:posOffset>-914400</wp:posOffset>
          </wp:positionH>
          <wp:positionV relativeFrom="paragraph">
            <wp:posOffset>-579120</wp:posOffset>
          </wp:positionV>
          <wp:extent cx="7562088" cy="10692384"/>
          <wp:effectExtent l="0" t="0" r="762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back2.jpg"/>
                  <pic:cNvPicPr/>
                </pic:nvPicPr>
                <pic:blipFill>
                  <a:blip r:embed="rId1" cstate="screen">
                    <a:extLst>
                      <a:ext uri="{28A0092B-C50C-407E-A947-70E740481C1C}">
                        <a14:useLocalDpi xmlns:a14="http://schemas.microsoft.com/office/drawing/2010/main"/>
                      </a:ext>
                    </a:extLst>
                  </a:blip>
                  <a:stretch>
                    <a:fillRect/>
                  </a:stretch>
                </pic:blipFill>
                <pic:spPr>
                  <a:xfrm>
                    <a:off x="0" y="0"/>
                    <a:ext cx="7562088" cy="10692384"/>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7CA83" w14:textId="511E326B" w:rsidR="00CA4B5C" w:rsidRDefault="00CA4B5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4AA23" w14:textId="0E811ED9" w:rsidR="00105B36" w:rsidRDefault="00105B3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3ECD3" w14:textId="763101C7" w:rsidR="00CA4B5C" w:rsidRPr="00CB54AC" w:rsidRDefault="00CA4B5C" w:rsidP="00C6742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26C09" w14:textId="47E3FF50" w:rsidR="00105B36" w:rsidRDefault="00105B3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469BF" w14:textId="10C67C3A" w:rsidR="00105B36" w:rsidRDefault="00105B3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D853C" w14:textId="0A89147F" w:rsidR="00105B36" w:rsidRDefault="00105B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1524"/>
    <w:multiLevelType w:val="hybridMultilevel"/>
    <w:tmpl w:val="A3E4FE4C"/>
    <w:lvl w:ilvl="0" w:tplc="74E4D38E">
      <w:start w:val="1"/>
      <w:numFmt w:val="bullet"/>
      <w:pStyle w:val="TableListBullet2"/>
      <w:lvlText w:val=""/>
      <w:lvlJc w:val="left"/>
      <w:pPr>
        <w:tabs>
          <w:tab w:val="num" w:pos="680"/>
        </w:tabs>
        <w:ind w:left="680" w:hanging="340"/>
      </w:pPr>
      <w:rPr>
        <w:rFonts w:ascii="Wingdings" w:hAnsi="Wingdings" w:hint="default"/>
        <w:b w:val="0"/>
        <w:i w:val="0"/>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6D4287"/>
    <w:multiLevelType w:val="hybridMultilevel"/>
    <w:tmpl w:val="D33650A0"/>
    <w:lvl w:ilvl="0" w:tplc="758A8FC8">
      <w:start w:val="1"/>
      <w:numFmt w:val="bullet"/>
      <w:lvlText w:val=""/>
      <w:lvlJc w:val="left"/>
      <w:pPr>
        <w:tabs>
          <w:tab w:val="num" w:pos="720"/>
        </w:tabs>
        <w:ind w:left="720" w:hanging="360"/>
      </w:pPr>
      <w:rPr>
        <w:rFonts w:ascii="Symbol" w:hAnsi="Symbol" w:hint="default"/>
      </w:rPr>
    </w:lvl>
    <w:lvl w:ilvl="1" w:tplc="6218AD7A" w:tentative="1">
      <w:start w:val="1"/>
      <w:numFmt w:val="bullet"/>
      <w:lvlText w:val=""/>
      <w:lvlJc w:val="left"/>
      <w:pPr>
        <w:tabs>
          <w:tab w:val="num" w:pos="1440"/>
        </w:tabs>
        <w:ind w:left="1440" w:hanging="360"/>
      </w:pPr>
      <w:rPr>
        <w:rFonts w:ascii="Symbol" w:hAnsi="Symbol" w:hint="default"/>
      </w:rPr>
    </w:lvl>
    <w:lvl w:ilvl="2" w:tplc="D3D88996" w:tentative="1">
      <w:start w:val="1"/>
      <w:numFmt w:val="bullet"/>
      <w:lvlText w:val=""/>
      <w:lvlJc w:val="left"/>
      <w:pPr>
        <w:tabs>
          <w:tab w:val="num" w:pos="2160"/>
        </w:tabs>
        <w:ind w:left="2160" w:hanging="360"/>
      </w:pPr>
      <w:rPr>
        <w:rFonts w:ascii="Symbol" w:hAnsi="Symbol" w:hint="default"/>
      </w:rPr>
    </w:lvl>
    <w:lvl w:ilvl="3" w:tplc="EB12A23A" w:tentative="1">
      <w:start w:val="1"/>
      <w:numFmt w:val="bullet"/>
      <w:lvlText w:val=""/>
      <w:lvlJc w:val="left"/>
      <w:pPr>
        <w:tabs>
          <w:tab w:val="num" w:pos="2880"/>
        </w:tabs>
        <w:ind w:left="2880" w:hanging="360"/>
      </w:pPr>
      <w:rPr>
        <w:rFonts w:ascii="Symbol" w:hAnsi="Symbol" w:hint="default"/>
      </w:rPr>
    </w:lvl>
    <w:lvl w:ilvl="4" w:tplc="2D384174" w:tentative="1">
      <w:start w:val="1"/>
      <w:numFmt w:val="bullet"/>
      <w:lvlText w:val=""/>
      <w:lvlJc w:val="left"/>
      <w:pPr>
        <w:tabs>
          <w:tab w:val="num" w:pos="3600"/>
        </w:tabs>
        <w:ind w:left="3600" w:hanging="360"/>
      </w:pPr>
      <w:rPr>
        <w:rFonts w:ascii="Symbol" w:hAnsi="Symbol" w:hint="default"/>
      </w:rPr>
    </w:lvl>
    <w:lvl w:ilvl="5" w:tplc="62B881C0" w:tentative="1">
      <w:start w:val="1"/>
      <w:numFmt w:val="bullet"/>
      <w:lvlText w:val=""/>
      <w:lvlJc w:val="left"/>
      <w:pPr>
        <w:tabs>
          <w:tab w:val="num" w:pos="4320"/>
        </w:tabs>
        <w:ind w:left="4320" w:hanging="360"/>
      </w:pPr>
      <w:rPr>
        <w:rFonts w:ascii="Symbol" w:hAnsi="Symbol" w:hint="default"/>
      </w:rPr>
    </w:lvl>
    <w:lvl w:ilvl="6" w:tplc="1DFA8906" w:tentative="1">
      <w:start w:val="1"/>
      <w:numFmt w:val="bullet"/>
      <w:lvlText w:val=""/>
      <w:lvlJc w:val="left"/>
      <w:pPr>
        <w:tabs>
          <w:tab w:val="num" w:pos="5040"/>
        </w:tabs>
        <w:ind w:left="5040" w:hanging="360"/>
      </w:pPr>
      <w:rPr>
        <w:rFonts w:ascii="Symbol" w:hAnsi="Symbol" w:hint="default"/>
      </w:rPr>
    </w:lvl>
    <w:lvl w:ilvl="7" w:tplc="2550F458" w:tentative="1">
      <w:start w:val="1"/>
      <w:numFmt w:val="bullet"/>
      <w:lvlText w:val=""/>
      <w:lvlJc w:val="left"/>
      <w:pPr>
        <w:tabs>
          <w:tab w:val="num" w:pos="5760"/>
        </w:tabs>
        <w:ind w:left="5760" w:hanging="360"/>
      </w:pPr>
      <w:rPr>
        <w:rFonts w:ascii="Symbol" w:hAnsi="Symbol" w:hint="default"/>
      </w:rPr>
    </w:lvl>
    <w:lvl w:ilvl="8" w:tplc="7104056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6C90F85"/>
    <w:multiLevelType w:val="hybridMultilevel"/>
    <w:tmpl w:val="409623FA"/>
    <w:lvl w:ilvl="0" w:tplc="922E6DC4">
      <w:start w:val="1"/>
      <w:numFmt w:val="bullet"/>
      <w:lvlText w:val=""/>
      <w:lvlJc w:val="left"/>
      <w:pPr>
        <w:tabs>
          <w:tab w:val="num" w:pos="720"/>
        </w:tabs>
        <w:ind w:left="720" w:hanging="360"/>
      </w:pPr>
      <w:rPr>
        <w:rFonts w:ascii="Symbol" w:hAnsi="Symbol" w:hint="default"/>
      </w:rPr>
    </w:lvl>
    <w:lvl w:ilvl="1" w:tplc="8C8A185C" w:tentative="1">
      <w:start w:val="1"/>
      <w:numFmt w:val="bullet"/>
      <w:lvlText w:val=""/>
      <w:lvlJc w:val="left"/>
      <w:pPr>
        <w:tabs>
          <w:tab w:val="num" w:pos="1440"/>
        </w:tabs>
        <w:ind w:left="1440" w:hanging="360"/>
      </w:pPr>
      <w:rPr>
        <w:rFonts w:ascii="Symbol" w:hAnsi="Symbol" w:hint="default"/>
      </w:rPr>
    </w:lvl>
    <w:lvl w:ilvl="2" w:tplc="CE869CEC" w:tentative="1">
      <w:start w:val="1"/>
      <w:numFmt w:val="bullet"/>
      <w:lvlText w:val=""/>
      <w:lvlJc w:val="left"/>
      <w:pPr>
        <w:tabs>
          <w:tab w:val="num" w:pos="2160"/>
        </w:tabs>
        <w:ind w:left="2160" w:hanging="360"/>
      </w:pPr>
      <w:rPr>
        <w:rFonts w:ascii="Symbol" w:hAnsi="Symbol" w:hint="default"/>
      </w:rPr>
    </w:lvl>
    <w:lvl w:ilvl="3" w:tplc="823218CE" w:tentative="1">
      <w:start w:val="1"/>
      <w:numFmt w:val="bullet"/>
      <w:lvlText w:val=""/>
      <w:lvlJc w:val="left"/>
      <w:pPr>
        <w:tabs>
          <w:tab w:val="num" w:pos="2880"/>
        </w:tabs>
        <w:ind w:left="2880" w:hanging="360"/>
      </w:pPr>
      <w:rPr>
        <w:rFonts w:ascii="Symbol" w:hAnsi="Symbol" w:hint="default"/>
      </w:rPr>
    </w:lvl>
    <w:lvl w:ilvl="4" w:tplc="DA7C7142" w:tentative="1">
      <w:start w:val="1"/>
      <w:numFmt w:val="bullet"/>
      <w:lvlText w:val=""/>
      <w:lvlJc w:val="left"/>
      <w:pPr>
        <w:tabs>
          <w:tab w:val="num" w:pos="3600"/>
        </w:tabs>
        <w:ind w:left="3600" w:hanging="360"/>
      </w:pPr>
      <w:rPr>
        <w:rFonts w:ascii="Symbol" w:hAnsi="Symbol" w:hint="default"/>
      </w:rPr>
    </w:lvl>
    <w:lvl w:ilvl="5" w:tplc="73CA9A52" w:tentative="1">
      <w:start w:val="1"/>
      <w:numFmt w:val="bullet"/>
      <w:lvlText w:val=""/>
      <w:lvlJc w:val="left"/>
      <w:pPr>
        <w:tabs>
          <w:tab w:val="num" w:pos="4320"/>
        </w:tabs>
        <w:ind w:left="4320" w:hanging="360"/>
      </w:pPr>
      <w:rPr>
        <w:rFonts w:ascii="Symbol" w:hAnsi="Symbol" w:hint="default"/>
      </w:rPr>
    </w:lvl>
    <w:lvl w:ilvl="6" w:tplc="EBC6BE20" w:tentative="1">
      <w:start w:val="1"/>
      <w:numFmt w:val="bullet"/>
      <w:lvlText w:val=""/>
      <w:lvlJc w:val="left"/>
      <w:pPr>
        <w:tabs>
          <w:tab w:val="num" w:pos="5040"/>
        </w:tabs>
        <w:ind w:left="5040" w:hanging="360"/>
      </w:pPr>
      <w:rPr>
        <w:rFonts w:ascii="Symbol" w:hAnsi="Symbol" w:hint="default"/>
      </w:rPr>
    </w:lvl>
    <w:lvl w:ilvl="7" w:tplc="44C80762" w:tentative="1">
      <w:start w:val="1"/>
      <w:numFmt w:val="bullet"/>
      <w:lvlText w:val=""/>
      <w:lvlJc w:val="left"/>
      <w:pPr>
        <w:tabs>
          <w:tab w:val="num" w:pos="5760"/>
        </w:tabs>
        <w:ind w:left="5760" w:hanging="360"/>
      </w:pPr>
      <w:rPr>
        <w:rFonts w:ascii="Symbol" w:hAnsi="Symbol" w:hint="default"/>
      </w:rPr>
    </w:lvl>
    <w:lvl w:ilvl="8" w:tplc="7B1AF3C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8277987"/>
    <w:multiLevelType w:val="hybridMultilevel"/>
    <w:tmpl w:val="191834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F03986"/>
    <w:multiLevelType w:val="hybridMultilevel"/>
    <w:tmpl w:val="42C02D04"/>
    <w:lvl w:ilvl="0" w:tplc="4A867984">
      <w:start w:val="1"/>
      <w:numFmt w:val="bullet"/>
      <w:pStyle w:val="TableListBullet3"/>
      <w:lvlText w:val=""/>
      <w:lvlJc w:val="left"/>
      <w:pPr>
        <w:tabs>
          <w:tab w:val="num" w:pos="1021"/>
        </w:tabs>
        <w:ind w:left="1021" w:hanging="341"/>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D397BA7"/>
    <w:multiLevelType w:val="hybridMultilevel"/>
    <w:tmpl w:val="1B04AD2A"/>
    <w:lvl w:ilvl="0" w:tplc="0C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FB6767"/>
    <w:multiLevelType w:val="multilevel"/>
    <w:tmpl w:val="3E8CEDCE"/>
    <w:styleLink w:val="ListNumbers"/>
    <w:lvl w:ilvl="0">
      <w:start w:val="1"/>
      <w:numFmt w:val="decimal"/>
      <w:lvlText w:val="%1."/>
      <w:lvlJc w:val="left"/>
      <w:pPr>
        <w:tabs>
          <w:tab w:val="num" w:pos="567"/>
        </w:tabs>
        <w:ind w:left="567" w:hanging="567"/>
      </w:pPr>
      <w:rPr>
        <w:rFonts w:ascii="Arial" w:hAnsi="Arial" w:hint="default"/>
        <w:dstrike w:val="0"/>
        <w:sz w:val="18"/>
        <w:vertAlign w:val="baseline"/>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upperRoman"/>
      <w:lvlText w:val="%5."/>
      <w:lvlJc w:val="left"/>
      <w:pPr>
        <w:tabs>
          <w:tab w:val="num" w:pos="2835"/>
        </w:tabs>
        <w:ind w:left="2835" w:hanging="567"/>
      </w:pPr>
      <w:rPr>
        <w:rFonts w:hint="default"/>
      </w:rPr>
    </w:lvl>
    <w:lvl w:ilvl="5">
      <w:start w:val="1"/>
      <w:numFmt w:val="none"/>
      <w:lvlText w:val=""/>
      <w:lvlJc w:val="left"/>
      <w:pPr>
        <w:tabs>
          <w:tab w:val="num" w:pos="2835"/>
        </w:tabs>
        <w:ind w:left="3402" w:hanging="567"/>
      </w:pPr>
      <w:rPr>
        <w:rFonts w:hint="default"/>
      </w:rPr>
    </w:lvl>
    <w:lvl w:ilvl="6">
      <w:start w:val="1"/>
      <w:numFmt w:val="none"/>
      <w:lvlText w:val=""/>
      <w:lvlJc w:val="left"/>
      <w:pPr>
        <w:tabs>
          <w:tab w:val="num" w:pos="3402"/>
        </w:tabs>
        <w:ind w:left="3969" w:hanging="567"/>
      </w:pPr>
      <w:rPr>
        <w:rFonts w:hint="default"/>
      </w:rPr>
    </w:lvl>
    <w:lvl w:ilvl="7">
      <w:start w:val="1"/>
      <w:numFmt w:val="none"/>
      <w:lvlText w:val=""/>
      <w:lvlJc w:val="left"/>
      <w:pPr>
        <w:tabs>
          <w:tab w:val="num" w:pos="3969"/>
        </w:tabs>
        <w:ind w:left="4536" w:hanging="567"/>
      </w:pPr>
      <w:rPr>
        <w:rFonts w:hint="default"/>
      </w:rPr>
    </w:lvl>
    <w:lvl w:ilvl="8">
      <w:start w:val="1"/>
      <w:numFmt w:val="none"/>
      <w:lvlText w:val=""/>
      <w:lvlJc w:val="left"/>
      <w:pPr>
        <w:tabs>
          <w:tab w:val="num" w:pos="4536"/>
        </w:tabs>
        <w:ind w:left="5103" w:hanging="567"/>
      </w:pPr>
      <w:rPr>
        <w:rFonts w:hint="default"/>
      </w:rPr>
    </w:lvl>
  </w:abstractNum>
  <w:abstractNum w:abstractNumId="7" w15:restartNumberingAfterBreak="0">
    <w:nsid w:val="1B2875E7"/>
    <w:multiLevelType w:val="hybridMultilevel"/>
    <w:tmpl w:val="FE9C4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C0CC4"/>
    <w:multiLevelType w:val="hybridMultilevel"/>
    <w:tmpl w:val="C85A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87D54"/>
    <w:multiLevelType w:val="hybridMultilevel"/>
    <w:tmpl w:val="A580B736"/>
    <w:lvl w:ilvl="0" w:tplc="196CB0F2">
      <w:start w:val="1"/>
      <w:numFmt w:val="bullet"/>
      <w:lvlText w:val=""/>
      <w:lvlJc w:val="left"/>
      <w:pPr>
        <w:tabs>
          <w:tab w:val="num" w:pos="720"/>
        </w:tabs>
        <w:ind w:left="720" w:hanging="360"/>
      </w:pPr>
      <w:rPr>
        <w:rFonts w:ascii="Symbol" w:hAnsi="Symbol" w:hint="default"/>
      </w:rPr>
    </w:lvl>
    <w:lvl w:ilvl="1" w:tplc="B5040134" w:tentative="1">
      <w:start w:val="1"/>
      <w:numFmt w:val="bullet"/>
      <w:lvlText w:val=""/>
      <w:lvlJc w:val="left"/>
      <w:pPr>
        <w:tabs>
          <w:tab w:val="num" w:pos="1440"/>
        </w:tabs>
        <w:ind w:left="1440" w:hanging="360"/>
      </w:pPr>
      <w:rPr>
        <w:rFonts w:ascii="Symbol" w:hAnsi="Symbol" w:hint="default"/>
      </w:rPr>
    </w:lvl>
    <w:lvl w:ilvl="2" w:tplc="7C94AD1A" w:tentative="1">
      <w:start w:val="1"/>
      <w:numFmt w:val="bullet"/>
      <w:lvlText w:val=""/>
      <w:lvlJc w:val="left"/>
      <w:pPr>
        <w:tabs>
          <w:tab w:val="num" w:pos="2160"/>
        </w:tabs>
        <w:ind w:left="2160" w:hanging="360"/>
      </w:pPr>
      <w:rPr>
        <w:rFonts w:ascii="Symbol" w:hAnsi="Symbol" w:hint="default"/>
      </w:rPr>
    </w:lvl>
    <w:lvl w:ilvl="3" w:tplc="6E6A737A" w:tentative="1">
      <w:start w:val="1"/>
      <w:numFmt w:val="bullet"/>
      <w:lvlText w:val=""/>
      <w:lvlJc w:val="left"/>
      <w:pPr>
        <w:tabs>
          <w:tab w:val="num" w:pos="2880"/>
        </w:tabs>
        <w:ind w:left="2880" w:hanging="360"/>
      </w:pPr>
      <w:rPr>
        <w:rFonts w:ascii="Symbol" w:hAnsi="Symbol" w:hint="default"/>
      </w:rPr>
    </w:lvl>
    <w:lvl w:ilvl="4" w:tplc="823EF78A" w:tentative="1">
      <w:start w:val="1"/>
      <w:numFmt w:val="bullet"/>
      <w:lvlText w:val=""/>
      <w:lvlJc w:val="left"/>
      <w:pPr>
        <w:tabs>
          <w:tab w:val="num" w:pos="3600"/>
        </w:tabs>
        <w:ind w:left="3600" w:hanging="360"/>
      </w:pPr>
      <w:rPr>
        <w:rFonts w:ascii="Symbol" w:hAnsi="Symbol" w:hint="default"/>
      </w:rPr>
    </w:lvl>
    <w:lvl w:ilvl="5" w:tplc="08421850" w:tentative="1">
      <w:start w:val="1"/>
      <w:numFmt w:val="bullet"/>
      <w:lvlText w:val=""/>
      <w:lvlJc w:val="left"/>
      <w:pPr>
        <w:tabs>
          <w:tab w:val="num" w:pos="4320"/>
        </w:tabs>
        <w:ind w:left="4320" w:hanging="360"/>
      </w:pPr>
      <w:rPr>
        <w:rFonts w:ascii="Symbol" w:hAnsi="Symbol" w:hint="default"/>
      </w:rPr>
    </w:lvl>
    <w:lvl w:ilvl="6" w:tplc="02CA40E4" w:tentative="1">
      <w:start w:val="1"/>
      <w:numFmt w:val="bullet"/>
      <w:lvlText w:val=""/>
      <w:lvlJc w:val="left"/>
      <w:pPr>
        <w:tabs>
          <w:tab w:val="num" w:pos="5040"/>
        </w:tabs>
        <w:ind w:left="5040" w:hanging="360"/>
      </w:pPr>
      <w:rPr>
        <w:rFonts w:ascii="Symbol" w:hAnsi="Symbol" w:hint="default"/>
      </w:rPr>
    </w:lvl>
    <w:lvl w:ilvl="7" w:tplc="DFF08F96" w:tentative="1">
      <w:start w:val="1"/>
      <w:numFmt w:val="bullet"/>
      <w:lvlText w:val=""/>
      <w:lvlJc w:val="left"/>
      <w:pPr>
        <w:tabs>
          <w:tab w:val="num" w:pos="5760"/>
        </w:tabs>
        <w:ind w:left="5760" w:hanging="360"/>
      </w:pPr>
      <w:rPr>
        <w:rFonts w:ascii="Symbol" w:hAnsi="Symbol" w:hint="default"/>
      </w:rPr>
    </w:lvl>
    <w:lvl w:ilvl="8" w:tplc="EF4A825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C9178F"/>
    <w:multiLevelType w:val="hybridMultilevel"/>
    <w:tmpl w:val="1EFAE052"/>
    <w:lvl w:ilvl="0" w:tplc="85F8E0A0">
      <w:start w:val="1"/>
      <w:numFmt w:val="bullet"/>
      <w:pStyle w:val="TableListBullet"/>
      <w:lvlText w:val=""/>
      <w:lvlJc w:val="left"/>
      <w:pPr>
        <w:tabs>
          <w:tab w:val="num" w:pos="340"/>
        </w:tabs>
        <w:ind w:left="340" w:hanging="34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EF08F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i w:val="0"/>
        <w:sz w:val="20"/>
      </w:rPr>
    </w:lvl>
    <w:lvl w:ilvl="6">
      <w:start w:val="1"/>
      <w:numFmt w:val="decimal"/>
      <w:lvlText w:val="%1.%2.%3.%4.%5.%6.%7."/>
      <w:lvlJc w:val="left"/>
      <w:pPr>
        <w:ind w:left="3240" w:hanging="1080"/>
      </w:pPr>
      <w:rPr>
        <w:rFonts w:hint="default"/>
        <w:b w:val="0"/>
        <w:i/>
        <w:sz w:val="20"/>
      </w:rPr>
    </w:lvl>
    <w:lvl w:ilvl="7">
      <w:start w:val="1"/>
      <w:numFmt w:val="decimal"/>
      <w:lvlText w:val="%1.%2.%3.%4.%5.%6.%7.%8."/>
      <w:lvlJc w:val="left"/>
      <w:pPr>
        <w:ind w:left="3744" w:hanging="1224"/>
      </w:pPr>
      <w:rPr>
        <w:rFonts w:hint="default"/>
        <w:b/>
        <w:i w:val="0"/>
        <w:sz w:val="18"/>
      </w:rPr>
    </w:lvl>
    <w:lvl w:ilvl="8">
      <w:start w:val="1"/>
      <w:numFmt w:val="decimal"/>
      <w:lvlText w:val="%1.%2.%3.%4.%5.%6.%7.%8.%9."/>
      <w:lvlJc w:val="left"/>
      <w:pPr>
        <w:ind w:left="4320" w:hanging="1440"/>
      </w:pPr>
      <w:rPr>
        <w:rFonts w:hint="default"/>
        <w:b/>
        <w:i/>
        <w:sz w:val="18"/>
      </w:rPr>
    </w:lvl>
  </w:abstractNum>
  <w:abstractNum w:abstractNumId="12" w15:restartNumberingAfterBreak="0">
    <w:nsid w:val="28EA613A"/>
    <w:multiLevelType w:val="hybridMultilevel"/>
    <w:tmpl w:val="78303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E1F0FDF"/>
    <w:multiLevelType w:val="hybridMultilevel"/>
    <w:tmpl w:val="FC363F42"/>
    <w:lvl w:ilvl="0" w:tplc="1588460E">
      <w:start w:val="1"/>
      <w:numFmt w:val="bullet"/>
      <w:lvlText w:val=""/>
      <w:lvlJc w:val="left"/>
      <w:pPr>
        <w:tabs>
          <w:tab w:val="num" w:pos="720"/>
        </w:tabs>
        <w:ind w:left="720" w:hanging="360"/>
      </w:pPr>
      <w:rPr>
        <w:rFonts w:ascii="Symbol" w:hAnsi="Symbol" w:hint="default"/>
      </w:rPr>
    </w:lvl>
    <w:lvl w:ilvl="1" w:tplc="0582BAB6" w:tentative="1">
      <w:start w:val="1"/>
      <w:numFmt w:val="bullet"/>
      <w:lvlText w:val=""/>
      <w:lvlJc w:val="left"/>
      <w:pPr>
        <w:tabs>
          <w:tab w:val="num" w:pos="1440"/>
        </w:tabs>
        <w:ind w:left="1440" w:hanging="360"/>
      </w:pPr>
      <w:rPr>
        <w:rFonts w:ascii="Symbol" w:hAnsi="Symbol" w:hint="default"/>
      </w:rPr>
    </w:lvl>
    <w:lvl w:ilvl="2" w:tplc="8592A51C" w:tentative="1">
      <w:start w:val="1"/>
      <w:numFmt w:val="bullet"/>
      <w:lvlText w:val=""/>
      <w:lvlJc w:val="left"/>
      <w:pPr>
        <w:tabs>
          <w:tab w:val="num" w:pos="2160"/>
        </w:tabs>
        <w:ind w:left="2160" w:hanging="360"/>
      </w:pPr>
      <w:rPr>
        <w:rFonts w:ascii="Symbol" w:hAnsi="Symbol" w:hint="default"/>
      </w:rPr>
    </w:lvl>
    <w:lvl w:ilvl="3" w:tplc="96B2C58A" w:tentative="1">
      <w:start w:val="1"/>
      <w:numFmt w:val="bullet"/>
      <w:lvlText w:val=""/>
      <w:lvlJc w:val="left"/>
      <w:pPr>
        <w:tabs>
          <w:tab w:val="num" w:pos="2880"/>
        </w:tabs>
        <w:ind w:left="2880" w:hanging="360"/>
      </w:pPr>
      <w:rPr>
        <w:rFonts w:ascii="Symbol" w:hAnsi="Symbol" w:hint="default"/>
      </w:rPr>
    </w:lvl>
    <w:lvl w:ilvl="4" w:tplc="BDC81A4A" w:tentative="1">
      <w:start w:val="1"/>
      <w:numFmt w:val="bullet"/>
      <w:lvlText w:val=""/>
      <w:lvlJc w:val="left"/>
      <w:pPr>
        <w:tabs>
          <w:tab w:val="num" w:pos="3600"/>
        </w:tabs>
        <w:ind w:left="3600" w:hanging="360"/>
      </w:pPr>
      <w:rPr>
        <w:rFonts w:ascii="Symbol" w:hAnsi="Symbol" w:hint="default"/>
      </w:rPr>
    </w:lvl>
    <w:lvl w:ilvl="5" w:tplc="F0BE38AE" w:tentative="1">
      <w:start w:val="1"/>
      <w:numFmt w:val="bullet"/>
      <w:lvlText w:val=""/>
      <w:lvlJc w:val="left"/>
      <w:pPr>
        <w:tabs>
          <w:tab w:val="num" w:pos="4320"/>
        </w:tabs>
        <w:ind w:left="4320" w:hanging="360"/>
      </w:pPr>
      <w:rPr>
        <w:rFonts w:ascii="Symbol" w:hAnsi="Symbol" w:hint="default"/>
      </w:rPr>
    </w:lvl>
    <w:lvl w:ilvl="6" w:tplc="D0086A60" w:tentative="1">
      <w:start w:val="1"/>
      <w:numFmt w:val="bullet"/>
      <w:lvlText w:val=""/>
      <w:lvlJc w:val="left"/>
      <w:pPr>
        <w:tabs>
          <w:tab w:val="num" w:pos="5040"/>
        </w:tabs>
        <w:ind w:left="5040" w:hanging="360"/>
      </w:pPr>
      <w:rPr>
        <w:rFonts w:ascii="Symbol" w:hAnsi="Symbol" w:hint="default"/>
      </w:rPr>
    </w:lvl>
    <w:lvl w:ilvl="7" w:tplc="702CC360" w:tentative="1">
      <w:start w:val="1"/>
      <w:numFmt w:val="bullet"/>
      <w:lvlText w:val=""/>
      <w:lvlJc w:val="left"/>
      <w:pPr>
        <w:tabs>
          <w:tab w:val="num" w:pos="5760"/>
        </w:tabs>
        <w:ind w:left="5760" w:hanging="360"/>
      </w:pPr>
      <w:rPr>
        <w:rFonts w:ascii="Symbol" w:hAnsi="Symbol" w:hint="default"/>
      </w:rPr>
    </w:lvl>
    <w:lvl w:ilvl="8" w:tplc="D5A24568"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E330E84"/>
    <w:multiLevelType w:val="multilevel"/>
    <w:tmpl w:val="0ABC3114"/>
    <w:lvl w:ilvl="0">
      <w:start w:val="1"/>
      <w:numFmt w:val="none"/>
      <w:pStyle w:val="Note"/>
      <w:lvlText w:val="Note"/>
      <w:lvlJc w:val="left"/>
      <w:pPr>
        <w:tabs>
          <w:tab w:val="num" w:pos="567"/>
        </w:tabs>
        <w:ind w:left="567" w:hanging="567"/>
      </w:pPr>
      <w:rPr>
        <w:rFonts w:ascii="Arial" w:hAnsi="Arial" w:hint="default"/>
        <w:b/>
        <w:i w:val="0"/>
        <w:sz w:val="21"/>
      </w:rPr>
    </w:lvl>
    <w:lvl w:ilvl="1">
      <w:start w:val="1"/>
      <w:numFmt w:val="none"/>
      <w:pStyle w:val="Note2"/>
      <w:lvlText w:val="Note"/>
      <w:lvlJc w:val="left"/>
      <w:pPr>
        <w:tabs>
          <w:tab w:val="num" w:pos="1134"/>
        </w:tabs>
        <w:ind w:left="1134" w:hanging="567"/>
      </w:pPr>
      <w:rPr>
        <w:rFonts w:ascii="Arial" w:hAnsi="Arial" w:hint="default"/>
        <w:b/>
        <w:i w:val="0"/>
        <w:sz w:val="2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0532CFB"/>
    <w:multiLevelType w:val="multilevel"/>
    <w:tmpl w:val="5406D448"/>
    <w:lvl w:ilvl="0">
      <w:start w:val="1"/>
      <w:numFmt w:val="decimal"/>
      <w:pStyle w:val="TableListNumber"/>
      <w:lvlText w:val="%1."/>
      <w:lvlJc w:val="left"/>
      <w:pPr>
        <w:tabs>
          <w:tab w:val="num" w:pos="340"/>
        </w:tabs>
        <w:ind w:left="340" w:hanging="340"/>
      </w:pPr>
      <w:rPr>
        <w:rFonts w:ascii="Arial" w:hAnsi="Arial" w:hint="default"/>
        <w:b w:val="0"/>
        <w:i w:val="0"/>
        <w:sz w:val="18"/>
      </w:rPr>
    </w:lvl>
    <w:lvl w:ilvl="1">
      <w:start w:val="1"/>
      <w:numFmt w:val="lowerLetter"/>
      <w:pStyle w:val="TableListNumber2"/>
      <w:lvlText w:val="%2)"/>
      <w:lvlJc w:val="left"/>
      <w:pPr>
        <w:ind w:left="680" w:hanging="340"/>
      </w:pPr>
      <w:rPr>
        <w:rFonts w:hint="default"/>
        <w:b w:val="0"/>
        <w:i w:val="0"/>
        <w:sz w:val="18"/>
      </w:rPr>
    </w:lvl>
    <w:lvl w:ilvl="2">
      <w:start w:val="1"/>
      <w:numFmt w:val="lowerRoman"/>
      <w:pStyle w:val="TableListNumber3"/>
      <w:lvlText w:val="%3."/>
      <w:lvlJc w:val="left"/>
      <w:pPr>
        <w:ind w:left="1021" w:hanging="341"/>
      </w:pPr>
      <w:rPr>
        <w:rFonts w:hint="default"/>
        <w:b w:val="0"/>
        <w:i w:val="0"/>
        <w:sz w:val="18"/>
      </w:rPr>
    </w:lvl>
    <w:lvl w:ilvl="3">
      <w:start w:val="1"/>
      <w:numFmt w:val="none"/>
      <w:lvlText w:val=""/>
      <w:lvlJc w:val="left"/>
      <w:pPr>
        <w:ind w:left="1361" w:hanging="340"/>
      </w:pPr>
      <w:rPr>
        <w:rFonts w:hint="default"/>
      </w:rPr>
    </w:lvl>
    <w:lvl w:ilvl="4">
      <w:start w:val="1"/>
      <w:numFmt w:val="none"/>
      <w:lvlText w:val=""/>
      <w:lvlJc w:val="left"/>
      <w:pPr>
        <w:ind w:left="1701" w:hanging="340"/>
      </w:pPr>
      <w:rPr>
        <w:rFonts w:hint="default"/>
      </w:rPr>
    </w:lvl>
    <w:lvl w:ilvl="5">
      <w:start w:val="1"/>
      <w:numFmt w:val="none"/>
      <w:lvlText w:val=""/>
      <w:lvlJc w:val="left"/>
      <w:pPr>
        <w:ind w:left="2041" w:hanging="340"/>
      </w:pPr>
      <w:rPr>
        <w:rFonts w:hint="default"/>
      </w:rPr>
    </w:lvl>
    <w:lvl w:ilvl="6">
      <w:start w:val="1"/>
      <w:numFmt w:val="none"/>
      <w:lvlText w:val=""/>
      <w:lvlJc w:val="left"/>
      <w:pPr>
        <w:ind w:left="2381" w:hanging="340"/>
      </w:pPr>
      <w:rPr>
        <w:rFonts w:hint="default"/>
      </w:rPr>
    </w:lvl>
    <w:lvl w:ilvl="7">
      <w:start w:val="1"/>
      <w:numFmt w:val="none"/>
      <w:lvlText w:val=""/>
      <w:lvlJc w:val="left"/>
      <w:pPr>
        <w:ind w:left="2722" w:hanging="341"/>
      </w:pPr>
      <w:rPr>
        <w:rFonts w:hint="default"/>
      </w:rPr>
    </w:lvl>
    <w:lvl w:ilvl="8">
      <w:start w:val="1"/>
      <w:numFmt w:val="none"/>
      <w:lvlText w:val=""/>
      <w:lvlJc w:val="left"/>
      <w:pPr>
        <w:ind w:left="3062" w:hanging="340"/>
      </w:pPr>
      <w:rPr>
        <w:rFonts w:hint="default"/>
      </w:rPr>
    </w:lvl>
  </w:abstractNum>
  <w:abstractNum w:abstractNumId="16" w15:restartNumberingAfterBreak="0">
    <w:nsid w:val="34112F76"/>
    <w:multiLevelType w:val="multilevel"/>
    <w:tmpl w:val="3C04D810"/>
    <w:lvl w:ilvl="0">
      <w:start w:val="1"/>
      <w:numFmt w:val="decimal"/>
      <w:lvlText w:val="%1."/>
      <w:lvlJc w:val="left"/>
      <w:pPr>
        <w:ind w:left="360" w:hanging="360"/>
      </w:pPr>
    </w:lvl>
    <w:lvl w:ilvl="1">
      <w:start w:val="1"/>
      <w:numFmt w:val="decimal"/>
      <w:lvlText w:val="5.%2"/>
      <w:lvlJc w:val="left"/>
      <w:pPr>
        <w:ind w:left="1992" w:hanging="432"/>
      </w:pPr>
      <w:rPr>
        <w:rFonts w:ascii="Arial" w:hAnsi="Arial" w:cs="Arial"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2A7579"/>
    <w:multiLevelType w:val="hybridMultilevel"/>
    <w:tmpl w:val="D07E24DA"/>
    <w:lvl w:ilvl="0" w:tplc="41C8E07C">
      <w:start w:val="1"/>
      <w:numFmt w:val="bullet"/>
      <w:lvlText w:val=""/>
      <w:lvlJc w:val="left"/>
      <w:pPr>
        <w:ind w:left="720" w:hanging="360"/>
      </w:pPr>
      <w:rPr>
        <w:rFonts w:ascii="Symbol" w:hAnsi="Symbol" w:hint="default"/>
        <w:color w:val="32BCF9" w:themeColor="accent1" w:themeTint="99"/>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BD4829"/>
    <w:multiLevelType w:val="hybridMultilevel"/>
    <w:tmpl w:val="21CAB528"/>
    <w:lvl w:ilvl="0" w:tplc="69C89A5C">
      <w:start w:val="1"/>
      <w:numFmt w:val="bullet"/>
      <w:lvlText w:val=""/>
      <w:lvlJc w:val="left"/>
      <w:pPr>
        <w:tabs>
          <w:tab w:val="num" w:pos="720"/>
        </w:tabs>
        <w:ind w:left="720" w:hanging="360"/>
      </w:pPr>
      <w:rPr>
        <w:rFonts w:ascii="Symbol" w:hAnsi="Symbol" w:hint="default"/>
      </w:rPr>
    </w:lvl>
    <w:lvl w:ilvl="1" w:tplc="5382F254" w:tentative="1">
      <w:start w:val="1"/>
      <w:numFmt w:val="bullet"/>
      <w:lvlText w:val=""/>
      <w:lvlJc w:val="left"/>
      <w:pPr>
        <w:tabs>
          <w:tab w:val="num" w:pos="1440"/>
        </w:tabs>
        <w:ind w:left="1440" w:hanging="360"/>
      </w:pPr>
      <w:rPr>
        <w:rFonts w:ascii="Symbol" w:hAnsi="Symbol" w:hint="default"/>
      </w:rPr>
    </w:lvl>
    <w:lvl w:ilvl="2" w:tplc="0102F8E8" w:tentative="1">
      <w:start w:val="1"/>
      <w:numFmt w:val="bullet"/>
      <w:lvlText w:val=""/>
      <w:lvlJc w:val="left"/>
      <w:pPr>
        <w:tabs>
          <w:tab w:val="num" w:pos="2160"/>
        </w:tabs>
        <w:ind w:left="2160" w:hanging="360"/>
      </w:pPr>
      <w:rPr>
        <w:rFonts w:ascii="Symbol" w:hAnsi="Symbol" w:hint="default"/>
      </w:rPr>
    </w:lvl>
    <w:lvl w:ilvl="3" w:tplc="720820F8" w:tentative="1">
      <w:start w:val="1"/>
      <w:numFmt w:val="bullet"/>
      <w:lvlText w:val=""/>
      <w:lvlJc w:val="left"/>
      <w:pPr>
        <w:tabs>
          <w:tab w:val="num" w:pos="2880"/>
        </w:tabs>
        <w:ind w:left="2880" w:hanging="360"/>
      </w:pPr>
      <w:rPr>
        <w:rFonts w:ascii="Symbol" w:hAnsi="Symbol" w:hint="default"/>
      </w:rPr>
    </w:lvl>
    <w:lvl w:ilvl="4" w:tplc="0D20C386" w:tentative="1">
      <w:start w:val="1"/>
      <w:numFmt w:val="bullet"/>
      <w:lvlText w:val=""/>
      <w:lvlJc w:val="left"/>
      <w:pPr>
        <w:tabs>
          <w:tab w:val="num" w:pos="3600"/>
        </w:tabs>
        <w:ind w:left="3600" w:hanging="360"/>
      </w:pPr>
      <w:rPr>
        <w:rFonts w:ascii="Symbol" w:hAnsi="Symbol" w:hint="default"/>
      </w:rPr>
    </w:lvl>
    <w:lvl w:ilvl="5" w:tplc="6FDA6514" w:tentative="1">
      <w:start w:val="1"/>
      <w:numFmt w:val="bullet"/>
      <w:lvlText w:val=""/>
      <w:lvlJc w:val="left"/>
      <w:pPr>
        <w:tabs>
          <w:tab w:val="num" w:pos="4320"/>
        </w:tabs>
        <w:ind w:left="4320" w:hanging="360"/>
      </w:pPr>
      <w:rPr>
        <w:rFonts w:ascii="Symbol" w:hAnsi="Symbol" w:hint="default"/>
      </w:rPr>
    </w:lvl>
    <w:lvl w:ilvl="6" w:tplc="0E34452C" w:tentative="1">
      <w:start w:val="1"/>
      <w:numFmt w:val="bullet"/>
      <w:lvlText w:val=""/>
      <w:lvlJc w:val="left"/>
      <w:pPr>
        <w:tabs>
          <w:tab w:val="num" w:pos="5040"/>
        </w:tabs>
        <w:ind w:left="5040" w:hanging="360"/>
      </w:pPr>
      <w:rPr>
        <w:rFonts w:ascii="Symbol" w:hAnsi="Symbol" w:hint="default"/>
      </w:rPr>
    </w:lvl>
    <w:lvl w:ilvl="7" w:tplc="F9D8752A" w:tentative="1">
      <w:start w:val="1"/>
      <w:numFmt w:val="bullet"/>
      <w:lvlText w:val=""/>
      <w:lvlJc w:val="left"/>
      <w:pPr>
        <w:tabs>
          <w:tab w:val="num" w:pos="5760"/>
        </w:tabs>
        <w:ind w:left="5760" w:hanging="360"/>
      </w:pPr>
      <w:rPr>
        <w:rFonts w:ascii="Symbol" w:hAnsi="Symbol" w:hint="default"/>
      </w:rPr>
    </w:lvl>
    <w:lvl w:ilvl="8" w:tplc="51A47D6C"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B5E09B3"/>
    <w:multiLevelType w:val="hybridMultilevel"/>
    <w:tmpl w:val="8FCC0836"/>
    <w:lvl w:ilvl="0" w:tplc="3B86DC1A">
      <w:start w:val="1"/>
      <w:numFmt w:val="bullet"/>
      <w:lvlText w:val=""/>
      <w:lvlJc w:val="left"/>
      <w:pPr>
        <w:tabs>
          <w:tab w:val="num" w:pos="720"/>
        </w:tabs>
        <w:ind w:left="720" w:hanging="360"/>
      </w:pPr>
      <w:rPr>
        <w:rFonts w:ascii="Symbol" w:hAnsi="Symbol" w:hint="default"/>
      </w:rPr>
    </w:lvl>
    <w:lvl w:ilvl="1" w:tplc="4E9AE0A2" w:tentative="1">
      <w:start w:val="1"/>
      <w:numFmt w:val="bullet"/>
      <w:lvlText w:val=""/>
      <w:lvlJc w:val="left"/>
      <w:pPr>
        <w:tabs>
          <w:tab w:val="num" w:pos="1440"/>
        </w:tabs>
        <w:ind w:left="1440" w:hanging="360"/>
      </w:pPr>
      <w:rPr>
        <w:rFonts w:ascii="Symbol" w:hAnsi="Symbol" w:hint="default"/>
      </w:rPr>
    </w:lvl>
    <w:lvl w:ilvl="2" w:tplc="4EB4D240" w:tentative="1">
      <w:start w:val="1"/>
      <w:numFmt w:val="bullet"/>
      <w:lvlText w:val=""/>
      <w:lvlJc w:val="left"/>
      <w:pPr>
        <w:tabs>
          <w:tab w:val="num" w:pos="2160"/>
        </w:tabs>
        <w:ind w:left="2160" w:hanging="360"/>
      </w:pPr>
      <w:rPr>
        <w:rFonts w:ascii="Symbol" w:hAnsi="Symbol" w:hint="default"/>
      </w:rPr>
    </w:lvl>
    <w:lvl w:ilvl="3" w:tplc="9F145104" w:tentative="1">
      <w:start w:val="1"/>
      <w:numFmt w:val="bullet"/>
      <w:lvlText w:val=""/>
      <w:lvlJc w:val="left"/>
      <w:pPr>
        <w:tabs>
          <w:tab w:val="num" w:pos="2880"/>
        </w:tabs>
        <w:ind w:left="2880" w:hanging="360"/>
      </w:pPr>
      <w:rPr>
        <w:rFonts w:ascii="Symbol" w:hAnsi="Symbol" w:hint="default"/>
      </w:rPr>
    </w:lvl>
    <w:lvl w:ilvl="4" w:tplc="8B56F610" w:tentative="1">
      <w:start w:val="1"/>
      <w:numFmt w:val="bullet"/>
      <w:lvlText w:val=""/>
      <w:lvlJc w:val="left"/>
      <w:pPr>
        <w:tabs>
          <w:tab w:val="num" w:pos="3600"/>
        </w:tabs>
        <w:ind w:left="3600" w:hanging="360"/>
      </w:pPr>
      <w:rPr>
        <w:rFonts w:ascii="Symbol" w:hAnsi="Symbol" w:hint="default"/>
      </w:rPr>
    </w:lvl>
    <w:lvl w:ilvl="5" w:tplc="6898186C" w:tentative="1">
      <w:start w:val="1"/>
      <w:numFmt w:val="bullet"/>
      <w:lvlText w:val=""/>
      <w:lvlJc w:val="left"/>
      <w:pPr>
        <w:tabs>
          <w:tab w:val="num" w:pos="4320"/>
        </w:tabs>
        <w:ind w:left="4320" w:hanging="360"/>
      </w:pPr>
      <w:rPr>
        <w:rFonts w:ascii="Symbol" w:hAnsi="Symbol" w:hint="default"/>
      </w:rPr>
    </w:lvl>
    <w:lvl w:ilvl="6" w:tplc="2C2CE63A" w:tentative="1">
      <w:start w:val="1"/>
      <w:numFmt w:val="bullet"/>
      <w:lvlText w:val=""/>
      <w:lvlJc w:val="left"/>
      <w:pPr>
        <w:tabs>
          <w:tab w:val="num" w:pos="5040"/>
        </w:tabs>
        <w:ind w:left="5040" w:hanging="360"/>
      </w:pPr>
      <w:rPr>
        <w:rFonts w:ascii="Symbol" w:hAnsi="Symbol" w:hint="default"/>
      </w:rPr>
    </w:lvl>
    <w:lvl w:ilvl="7" w:tplc="E39C74D4" w:tentative="1">
      <w:start w:val="1"/>
      <w:numFmt w:val="bullet"/>
      <w:lvlText w:val=""/>
      <w:lvlJc w:val="left"/>
      <w:pPr>
        <w:tabs>
          <w:tab w:val="num" w:pos="5760"/>
        </w:tabs>
        <w:ind w:left="5760" w:hanging="360"/>
      </w:pPr>
      <w:rPr>
        <w:rFonts w:ascii="Symbol" w:hAnsi="Symbol" w:hint="default"/>
      </w:rPr>
    </w:lvl>
    <w:lvl w:ilvl="8" w:tplc="4574013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575283D"/>
    <w:multiLevelType w:val="multilevel"/>
    <w:tmpl w:val="BB2657EC"/>
    <w:lvl w:ilvl="0">
      <w:start w:val="1"/>
      <w:numFmt w:val="decimal"/>
      <w:pStyle w:val="ListNumber"/>
      <w:lvlText w:val="%1."/>
      <w:lvlJc w:val="left"/>
      <w:pPr>
        <w:tabs>
          <w:tab w:val="num" w:pos="567"/>
        </w:tabs>
        <w:ind w:left="567" w:hanging="567"/>
      </w:pPr>
      <w:rPr>
        <w:rFonts w:ascii="Arial" w:hAnsi="Arial" w:hint="default"/>
        <w:b w:val="0"/>
        <w:i w:val="0"/>
        <w:dstrike w:val="0"/>
        <w:color w:val="363535" w:themeColor="text1"/>
        <w:sz w:val="21"/>
        <w:vertAlign w:val="baseline"/>
      </w:rPr>
    </w:lvl>
    <w:lvl w:ilvl="1">
      <w:start w:val="1"/>
      <w:numFmt w:val="lowerLetter"/>
      <w:pStyle w:val="ListNumber2"/>
      <w:lvlText w:val="%2)"/>
      <w:lvlJc w:val="left"/>
      <w:pPr>
        <w:tabs>
          <w:tab w:val="num" w:pos="1134"/>
        </w:tabs>
        <w:ind w:left="1134" w:hanging="567"/>
      </w:pPr>
      <w:rPr>
        <w:rFonts w:hint="default"/>
        <w:b w:val="0"/>
        <w:i w:val="0"/>
        <w:sz w:val="21"/>
      </w:rPr>
    </w:lvl>
    <w:lvl w:ilvl="2">
      <w:start w:val="1"/>
      <w:numFmt w:val="lowerRoman"/>
      <w:pStyle w:val="ListNumber3"/>
      <w:lvlText w:val="%3."/>
      <w:lvlJc w:val="left"/>
      <w:pPr>
        <w:tabs>
          <w:tab w:val="num" w:pos="1701"/>
        </w:tabs>
        <w:ind w:left="1701" w:hanging="567"/>
      </w:pPr>
      <w:rPr>
        <w:rFonts w:hint="default"/>
        <w:sz w:val="21"/>
      </w:rPr>
    </w:lvl>
    <w:lvl w:ilvl="3">
      <w:start w:val="1"/>
      <w:numFmt w:val="upperLetter"/>
      <w:pStyle w:val="ListNumber4"/>
      <w:lvlText w:val="%4)"/>
      <w:lvlJc w:val="left"/>
      <w:pPr>
        <w:tabs>
          <w:tab w:val="num" w:pos="2268"/>
        </w:tabs>
        <w:ind w:left="2268" w:hanging="567"/>
      </w:pPr>
      <w:rPr>
        <w:rFonts w:hint="default"/>
      </w:rPr>
    </w:lvl>
    <w:lvl w:ilvl="4">
      <w:start w:val="1"/>
      <w:numFmt w:val="upperRoman"/>
      <w:pStyle w:val="ListNumber5"/>
      <w:lvlText w:val="%5."/>
      <w:lvlJc w:val="left"/>
      <w:pPr>
        <w:tabs>
          <w:tab w:val="num" w:pos="2835"/>
        </w:tabs>
        <w:ind w:left="2835" w:hanging="567"/>
      </w:pPr>
      <w:rPr>
        <w:rFonts w:hint="default"/>
      </w:rPr>
    </w:lvl>
    <w:lvl w:ilvl="5">
      <w:start w:val="1"/>
      <w:numFmt w:val="none"/>
      <w:lvlText w:val=""/>
      <w:lvlJc w:val="left"/>
      <w:pPr>
        <w:tabs>
          <w:tab w:val="num" w:pos="2835"/>
        </w:tabs>
        <w:ind w:left="3402" w:hanging="567"/>
      </w:pPr>
      <w:rPr>
        <w:rFonts w:hint="default"/>
      </w:rPr>
    </w:lvl>
    <w:lvl w:ilvl="6">
      <w:start w:val="1"/>
      <w:numFmt w:val="none"/>
      <w:lvlText w:val=""/>
      <w:lvlJc w:val="left"/>
      <w:pPr>
        <w:tabs>
          <w:tab w:val="num" w:pos="3402"/>
        </w:tabs>
        <w:ind w:left="3969" w:hanging="567"/>
      </w:pPr>
      <w:rPr>
        <w:rFonts w:hint="default"/>
      </w:rPr>
    </w:lvl>
    <w:lvl w:ilvl="7">
      <w:start w:val="1"/>
      <w:numFmt w:val="none"/>
      <w:lvlText w:val=""/>
      <w:lvlJc w:val="left"/>
      <w:pPr>
        <w:tabs>
          <w:tab w:val="num" w:pos="3969"/>
        </w:tabs>
        <w:ind w:left="4536" w:hanging="567"/>
      </w:pPr>
      <w:rPr>
        <w:rFonts w:hint="default"/>
      </w:rPr>
    </w:lvl>
    <w:lvl w:ilvl="8">
      <w:start w:val="1"/>
      <w:numFmt w:val="none"/>
      <w:lvlText w:val=""/>
      <w:lvlJc w:val="left"/>
      <w:pPr>
        <w:tabs>
          <w:tab w:val="num" w:pos="4536"/>
        </w:tabs>
        <w:ind w:left="5103" w:hanging="567"/>
      </w:pPr>
      <w:rPr>
        <w:rFonts w:hint="default"/>
      </w:rPr>
    </w:lvl>
  </w:abstractNum>
  <w:abstractNum w:abstractNumId="21" w15:restartNumberingAfterBreak="0">
    <w:nsid w:val="567D3391"/>
    <w:multiLevelType w:val="hybridMultilevel"/>
    <w:tmpl w:val="1C0AF85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57B33F18"/>
    <w:multiLevelType w:val="hybridMultilevel"/>
    <w:tmpl w:val="550E92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A524C54"/>
    <w:multiLevelType w:val="hybridMultilevel"/>
    <w:tmpl w:val="0218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2106E7"/>
    <w:multiLevelType w:val="multilevel"/>
    <w:tmpl w:val="2F96079A"/>
    <w:lvl w:ilvl="0">
      <w:start w:val="1"/>
      <w:numFmt w:val="bullet"/>
      <w:pStyle w:val="ListBullet"/>
      <w:lvlText w:val=""/>
      <w:lvlJc w:val="left"/>
      <w:pPr>
        <w:tabs>
          <w:tab w:val="num" w:pos="567"/>
        </w:tabs>
        <w:ind w:left="567" w:hanging="567"/>
      </w:pPr>
      <w:rPr>
        <w:rFonts w:ascii="Wingdings" w:hAnsi="Wingdings" w:hint="default"/>
        <w:color w:val="auto"/>
        <w:sz w:val="24"/>
      </w:rPr>
    </w:lvl>
    <w:lvl w:ilvl="1">
      <w:start w:val="1"/>
      <w:numFmt w:val="bullet"/>
      <w:lvlRestart w:val="0"/>
      <w:pStyle w:val="ListBullet2"/>
      <w:lvlText w:val=""/>
      <w:lvlJc w:val="left"/>
      <w:pPr>
        <w:tabs>
          <w:tab w:val="num" w:pos="1134"/>
        </w:tabs>
        <w:ind w:left="1134" w:hanging="567"/>
      </w:pPr>
      <w:rPr>
        <w:rFonts w:ascii="Wingdings" w:hAnsi="Wingdings" w:hint="default"/>
        <w:sz w:val="20"/>
      </w:rPr>
    </w:lvl>
    <w:lvl w:ilvl="2">
      <w:start w:val="1"/>
      <w:numFmt w:val="bullet"/>
      <w:pStyle w:val="ListBullet3"/>
      <w:lvlText w:val=""/>
      <w:lvlJc w:val="left"/>
      <w:pPr>
        <w:tabs>
          <w:tab w:val="num" w:pos="1701"/>
        </w:tabs>
        <w:ind w:left="1701" w:hanging="567"/>
      </w:pPr>
      <w:rPr>
        <w:rFonts w:ascii="Wingdings" w:hAnsi="Wingdings" w:hint="default"/>
      </w:rPr>
    </w:lvl>
    <w:lvl w:ilvl="3">
      <w:start w:val="1"/>
      <w:numFmt w:val="bullet"/>
      <w:pStyle w:val="ListBullet4"/>
      <w:lvlText w:val=""/>
      <w:lvlJc w:val="left"/>
      <w:pPr>
        <w:tabs>
          <w:tab w:val="num" w:pos="2268"/>
        </w:tabs>
        <w:ind w:left="2268" w:hanging="567"/>
      </w:pPr>
      <w:rPr>
        <w:rFonts w:ascii="Wingdings" w:hAnsi="Wingdings"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375576F"/>
    <w:multiLevelType w:val="hybridMultilevel"/>
    <w:tmpl w:val="2F588C7A"/>
    <w:lvl w:ilvl="0" w:tplc="C5AC1038">
      <w:start w:val="1"/>
      <w:numFmt w:val="bullet"/>
      <w:lvlText w:val=""/>
      <w:lvlJc w:val="left"/>
      <w:pPr>
        <w:tabs>
          <w:tab w:val="num" w:pos="720"/>
        </w:tabs>
        <w:ind w:left="720" w:hanging="360"/>
      </w:pPr>
      <w:rPr>
        <w:rFonts w:ascii="Symbol" w:hAnsi="Symbol" w:hint="default"/>
      </w:rPr>
    </w:lvl>
    <w:lvl w:ilvl="1" w:tplc="7A987634" w:tentative="1">
      <w:start w:val="1"/>
      <w:numFmt w:val="bullet"/>
      <w:lvlText w:val=""/>
      <w:lvlJc w:val="left"/>
      <w:pPr>
        <w:tabs>
          <w:tab w:val="num" w:pos="1440"/>
        </w:tabs>
        <w:ind w:left="1440" w:hanging="360"/>
      </w:pPr>
      <w:rPr>
        <w:rFonts w:ascii="Symbol" w:hAnsi="Symbol" w:hint="default"/>
      </w:rPr>
    </w:lvl>
    <w:lvl w:ilvl="2" w:tplc="20A6C836" w:tentative="1">
      <w:start w:val="1"/>
      <w:numFmt w:val="bullet"/>
      <w:lvlText w:val=""/>
      <w:lvlJc w:val="left"/>
      <w:pPr>
        <w:tabs>
          <w:tab w:val="num" w:pos="2160"/>
        </w:tabs>
        <w:ind w:left="2160" w:hanging="360"/>
      </w:pPr>
      <w:rPr>
        <w:rFonts w:ascii="Symbol" w:hAnsi="Symbol" w:hint="default"/>
      </w:rPr>
    </w:lvl>
    <w:lvl w:ilvl="3" w:tplc="64C66B72" w:tentative="1">
      <w:start w:val="1"/>
      <w:numFmt w:val="bullet"/>
      <w:lvlText w:val=""/>
      <w:lvlJc w:val="left"/>
      <w:pPr>
        <w:tabs>
          <w:tab w:val="num" w:pos="2880"/>
        </w:tabs>
        <w:ind w:left="2880" w:hanging="360"/>
      </w:pPr>
      <w:rPr>
        <w:rFonts w:ascii="Symbol" w:hAnsi="Symbol" w:hint="default"/>
      </w:rPr>
    </w:lvl>
    <w:lvl w:ilvl="4" w:tplc="5B729498" w:tentative="1">
      <w:start w:val="1"/>
      <w:numFmt w:val="bullet"/>
      <w:lvlText w:val=""/>
      <w:lvlJc w:val="left"/>
      <w:pPr>
        <w:tabs>
          <w:tab w:val="num" w:pos="3600"/>
        </w:tabs>
        <w:ind w:left="3600" w:hanging="360"/>
      </w:pPr>
      <w:rPr>
        <w:rFonts w:ascii="Symbol" w:hAnsi="Symbol" w:hint="default"/>
      </w:rPr>
    </w:lvl>
    <w:lvl w:ilvl="5" w:tplc="2C8A1BD2" w:tentative="1">
      <w:start w:val="1"/>
      <w:numFmt w:val="bullet"/>
      <w:lvlText w:val=""/>
      <w:lvlJc w:val="left"/>
      <w:pPr>
        <w:tabs>
          <w:tab w:val="num" w:pos="4320"/>
        </w:tabs>
        <w:ind w:left="4320" w:hanging="360"/>
      </w:pPr>
      <w:rPr>
        <w:rFonts w:ascii="Symbol" w:hAnsi="Symbol" w:hint="default"/>
      </w:rPr>
    </w:lvl>
    <w:lvl w:ilvl="6" w:tplc="A0E282B0" w:tentative="1">
      <w:start w:val="1"/>
      <w:numFmt w:val="bullet"/>
      <w:lvlText w:val=""/>
      <w:lvlJc w:val="left"/>
      <w:pPr>
        <w:tabs>
          <w:tab w:val="num" w:pos="5040"/>
        </w:tabs>
        <w:ind w:left="5040" w:hanging="360"/>
      </w:pPr>
      <w:rPr>
        <w:rFonts w:ascii="Symbol" w:hAnsi="Symbol" w:hint="default"/>
      </w:rPr>
    </w:lvl>
    <w:lvl w:ilvl="7" w:tplc="284E8D60" w:tentative="1">
      <w:start w:val="1"/>
      <w:numFmt w:val="bullet"/>
      <w:lvlText w:val=""/>
      <w:lvlJc w:val="left"/>
      <w:pPr>
        <w:tabs>
          <w:tab w:val="num" w:pos="5760"/>
        </w:tabs>
        <w:ind w:left="5760" w:hanging="360"/>
      </w:pPr>
      <w:rPr>
        <w:rFonts w:ascii="Symbol" w:hAnsi="Symbol" w:hint="default"/>
      </w:rPr>
    </w:lvl>
    <w:lvl w:ilvl="8" w:tplc="14DA753A"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88C7EC1"/>
    <w:multiLevelType w:val="hybridMultilevel"/>
    <w:tmpl w:val="16B8F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C50915"/>
    <w:multiLevelType w:val="multilevel"/>
    <w:tmpl w:val="4DE6D62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B0B41CE"/>
    <w:multiLevelType w:val="multilevel"/>
    <w:tmpl w:val="0409001F"/>
    <w:lvl w:ilvl="0">
      <w:start w:val="1"/>
      <w:numFmt w:val="decimal"/>
      <w:lvlText w:val="%1."/>
      <w:lvlJc w:val="left"/>
      <w:pPr>
        <w:ind w:left="360" w:hanging="360"/>
      </w:pPr>
    </w:lvl>
    <w:lvl w:ilvl="1">
      <w:start w:val="1"/>
      <w:numFmt w:val="decimal"/>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A7526D"/>
    <w:multiLevelType w:val="hybridMultilevel"/>
    <w:tmpl w:val="EA3EF598"/>
    <w:lvl w:ilvl="0" w:tplc="0C090001">
      <w:start w:val="1"/>
      <w:numFmt w:val="bullet"/>
      <w:lvlText w:val=""/>
      <w:lvlJc w:val="left"/>
      <w:pPr>
        <w:ind w:left="978" w:hanging="360"/>
      </w:pPr>
      <w:rPr>
        <w:rFonts w:ascii="Symbol" w:hAnsi="Symbol" w:hint="default"/>
      </w:rPr>
    </w:lvl>
    <w:lvl w:ilvl="1" w:tplc="0C090003" w:tentative="1">
      <w:start w:val="1"/>
      <w:numFmt w:val="bullet"/>
      <w:lvlText w:val="o"/>
      <w:lvlJc w:val="left"/>
      <w:pPr>
        <w:ind w:left="1698" w:hanging="360"/>
      </w:pPr>
      <w:rPr>
        <w:rFonts w:ascii="Courier New" w:hAnsi="Courier New" w:cs="Courier New" w:hint="default"/>
      </w:rPr>
    </w:lvl>
    <w:lvl w:ilvl="2" w:tplc="0C090005" w:tentative="1">
      <w:start w:val="1"/>
      <w:numFmt w:val="bullet"/>
      <w:lvlText w:val=""/>
      <w:lvlJc w:val="left"/>
      <w:pPr>
        <w:ind w:left="2418" w:hanging="360"/>
      </w:pPr>
      <w:rPr>
        <w:rFonts w:ascii="Wingdings" w:hAnsi="Wingdings" w:hint="default"/>
      </w:rPr>
    </w:lvl>
    <w:lvl w:ilvl="3" w:tplc="0C090001" w:tentative="1">
      <w:start w:val="1"/>
      <w:numFmt w:val="bullet"/>
      <w:lvlText w:val=""/>
      <w:lvlJc w:val="left"/>
      <w:pPr>
        <w:ind w:left="3138" w:hanging="360"/>
      </w:pPr>
      <w:rPr>
        <w:rFonts w:ascii="Symbol" w:hAnsi="Symbol" w:hint="default"/>
      </w:rPr>
    </w:lvl>
    <w:lvl w:ilvl="4" w:tplc="0C090003" w:tentative="1">
      <w:start w:val="1"/>
      <w:numFmt w:val="bullet"/>
      <w:lvlText w:val="o"/>
      <w:lvlJc w:val="left"/>
      <w:pPr>
        <w:ind w:left="3858" w:hanging="360"/>
      </w:pPr>
      <w:rPr>
        <w:rFonts w:ascii="Courier New" w:hAnsi="Courier New" w:cs="Courier New" w:hint="default"/>
      </w:rPr>
    </w:lvl>
    <w:lvl w:ilvl="5" w:tplc="0C090005" w:tentative="1">
      <w:start w:val="1"/>
      <w:numFmt w:val="bullet"/>
      <w:lvlText w:val=""/>
      <w:lvlJc w:val="left"/>
      <w:pPr>
        <w:ind w:left="4578" w:hanging="360"/>
      </w:pPr>
      <w:rPr>
        <w:rFonts w:ascii="Wingdings" w:hAnsi="Wingdings" w:hint="default"/>
      </w:rPr>
    </w:lvl>
    <w:lvl w:ilvl="6" w:tplc="0C090001" w:tentative="1">
      <w:start w:val="1"/>
      <w:numFmt w:val="bullet"/>
      <w:lvlText w:val=""/>
      <w:lvlJc w:val="left"/>
      <w:pPr>
        <w:ind w:left="5298" w:hanging="360"/>
      </w:pPr>
      <w:rPr>
        <w:rFonts w:ascii="Symbol" w:hAnsi="Symbol" w:hint="default"/>
      </w:rPr>
    </w:lvl>
    <w:lvl w:ilvl="7" w:tplc="0C090003" w:tentative="1">
      <w:start w:val="1"/>
      <w:numFmt w:val="bullet"/>
      <w:lvlText w:val="o"/>
      <w:lvlJc w:val="left"/>
      <w:pPr>
        <w:ind w:left="6018" w:hanging="360"/>
      </w:pPr>
      <w:rPr>
        <w:rFonts w:ascii="Courier New" w:hAnsi="Courier New" w:cs="Courier New" w:hint="default"/>
      </w:rPr>
    </w:lvl>
    <w:lvl w:ilvl="8" w:tplc="0C090005" w:tentative="1">
      <w:start w:val="1"/>
      <w:numFmt w:val="bullet"/>
      <w:lvlText w:val=""/>
      <w:lvlJc w:val="left"/>
      <w:pPr>
        <w:ind w:left="6738" w:hanging="360"/>
      </w:pPr>
      <w:rPr>
        <w:rFonts w:ascii="Wingdings" w:hAnsi="Wingdings" w:hint="default"/>
      </w:rPr>
    </w:lvl>
  </w:abstractNum>
  <w:abstractNum w:abstractNumId="30" w15:restartNumberingAfterBreak="0">
    <w:nsid w:val="725A2A04"/>
    <w:multiLevelType w:val="hybridMultilevel"/>
    <w:tmpl w:val="6E2E5FA6"/>
    <w:lvl w:ilvl="0" w:tplc="2A0EE2EC">
      <w:start w:val="1"/>
      <w:numFmt w:val="bullet"/>
      <w:lvlText w:val=""/>
      <w:lvlJc w:val="left"/>
      <w:pPr>
        <w:ind w:left="615" w:hanging="360"/>
      </w:pPr>
      <w:rPr>
        <w:rFonts w:ascii="Symbol" w:hAnsi="Symbol" w:hint="default"/>
        <w:sz w:val="24"/>
        <w:szCs w:val="24"/>
      </w:rPr>
    </w:lvl>
    <w:lvl w:ilvl="1" w:tplc="0409000F">
      <w:start w:val="1"/>
      <w:numFmt w:val="decimal"/>
      <w:lvlText w:val="%2."/>
      <w:lvlJc w:val="left"/>
      <w:pPr>
        <w:ind w:left="1335" w:hanging="360"/>
      </w:pPr>
      <w:rPr>
        <w:rFonts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31" w15:restartNumberingAfterBreak="0">
    <w:nsid w:val="73C93591"/>
    <w:multiLevelType w:val="hybridMultilevel"/>
    <w:tmpl w:val="9912E0B0"/>
    <w:lvl w:ilvl="0" w:tplc="46882C84">
      <w:start w:val="1"/>
      <w:numFmt w:val="bullet"/>
      <w:lvlText w:val=""/>
      <w:lvlJc w:val="left"/>
      <w:pPr>
        <w:tabs>
          <w:tab w:val="num" w:pos="720"/>
        </w:tabs>
        <w:ind w:left="720" w:hanging="360"/>
      </w:pPr>
      <w:rPr>
        <w:rFonts w:ascii="Symbol" w:hAnsi="Symbol" w:hint="default"/>
      </w:rPr>
    </w:lvl>
    <w:lvl w:ilvl="1" w:tplc="37E001F6" w:tentative="1">
      <w:start w:val="1"/>
      <w:numFmt w:val="bullet"/>
      <w:lvlText w:val=""/>
      <w:lvlJc w:val="left"/>
      <w:pPr>
        <w:tabs>
          <w:tab w:val="num" w:pos="1440"/>
        </w:tabs>
        <w:ind w:left="1440" w:hanging="360"/>
      </w:pPr>
      <w:rPr>
        <w:rFonts w:ascii="Symbol" w:hAnsi="Symbol" w:hint="default"/>
      </w:rPr>
    </w:lvl>
    <w:lvl w:ilvl="2" w:tplc="977E698E" w:tentative="1">
      <w:start w:val="1"/>
      <w:numFmt w:val="bullet"/>
      <w:lvlText w:val=""/>
      <w:lvlJc w:val="left"/>
      <w:pPr>
        <w:tabs>
          <w:tab w:val="num" w:pos="2160"/>
        </w:tabs>
        <w:ind w:left="2160" w:hanging="360"/>
      </w:pPr>
      <w:rPr>
        <w:rFonts w:ascii="Symbol" w:hAnsi="Symbol" w:hint="default"/>
      </w:rPr>
    </w:lvl>
    <w:lvl w:ilvl="3" w:tplc="C6DA2F22" w:tentative="1">
      <w:start w:val="1"/>
      <w:numFmt w:val="bullet"/>
      <w:lvlText w:val=""/>
      <w:lvlJc w:val="left"/>
      <w:pPr>
        <w:tabs>
          <w:tab w:val="num" w:pos="2880"/>
        </w:tabs>
        <w:ind w:left="2880" w:hanging="360"/>
      </w:pPr>
      <w:rPr>
        <w:rFonts w:ascii="Symbol" w:hAnsi="Symbol" w:hint="default"/>
      </w:rPr>
    </w:lvl>
    <w:lvl w:ilvl="4" w:tplc="7A5A6FAC" w:tentative="1">
      <w:start w:val="1"/>
      <w:numFmt w:val="bullet"/>
      <w:lvlText w:val=""/>
      <w:lvlJc w:val="left"/>
      <w:pPr>
        <w:tabs>
          <w:tab w:val="num" w:pos="3600"/>
        </w:tabs>
        <w:ind w:left="3600" w:hanging="360"/>
      </w:pPr>
      <w:rPr>
        <w:rFonts w:ascii="Symbol" w:hAnsi="Symbol" w:hint="default"/>
      </w:rPr>
    </w:lvl>
    <w:lvl w:ilvl="5" w:tplc="862CAD7C" w:tentative="1">
      <w:start w:val="1"/>
      <w:numFmt w:val="bullet"/>
      <w:lvlText w:val=""/>
      <w:lvlJc w:val="left"/>
      <w:pPr>
        <w:tabs>
          <w:tab w:val="num" w:pos="4320"/>
        </w:tabs>
        <w:ind w:left="4320" w:hanging="360"/>
      </w:pPr>
      <w:rPr>
        <w:rFonts w:ascii="Symbol" w:hAnsi="Symbol" w:hint="default"/>
      </w:rPr>
    </w:lvl>
    <w:lvl w:ilvl="6" w:tplc="EEBC2C24" w:tentative="1">
      <w:start w:val="1"/>
      <w:numFmt w:val="bullet"/>
      <w:lvlText w:val=""/>
      <w:lvlJc w:val="left"/>
      <w:pPr>
        <w:tabs>
          <w:tab w:val="num" w:pos="5040"/>
        </w:tabs>
        <w:ind w:left="5040" w:hanging="360"/>
      </w:pPr>
      <w:rPr>
        <w:rFonts w:ascii="Symbol" w:hAnsi="Symbol" w:hint="default"/>
      </w:rPr>
    </w:lvl>
    <w:lvl w:ilvl="7" w:tplc="B5FE6F02" w:tentative="1">
      <w:start w:val="1"/>
      <w:numFmt w:val="bullet"/>
      <w:lvlText w:val=""/>
      <w:lvlJc w:val="left"/>
      <w:pPr>
        <w:tabs>
          <w:tab w:val="num" w:pos="5760"/>
        </w:tabs>
        <w:ind w:left="5760" w:hanging="360"/>
      </w:pPr>
      <w:rPr>
        <w:rFonts w:ascii="Symbol" w:hAnsi="Symbol" w:hint="default"/>
      </w:rPr>
    </w:lvl>
    <w:lvl w:ilvl="8" w:tplc="F8CEA974"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745F2223"/>
    <w:multiLevelType w:val="hybridMultilevel"/>
    <w:tmpl w:val="A4FE3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5460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5D66A04"/>
    <w:multiLevelType w:val="hybridMultilevel"/>
    <w:tmpl w:val="BA68E0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5EF28AC"/>
    <w:multiLevelType w:val="hybridMultilevel"/>
    <w:tmpl w:val="AEA21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344596"/>
    <w:multiLevelType w:val="hybridMultilevel"/>
    <w:tmpl w:val="B08EC5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902237D"/>
    <w:multiLevelType w:val="multilevel"/>
    <w:tmpl w:val="0409001F"/>
    <w:lvl w:ilvl="0">
      <w:start w:val="1"/>
      <w:numFmt w:val="decimal"/>
      <w:lvlText w:val="%1."/>
      <w:lvlJc w:val="left"/>
      <w:pPr>
        <w:ind w:left="720" w:hanging="360"/>
      </w:pPr>
    </w:lvl>
    <w:lvl w:ilvl="1">
      <w:start w:val="1"/>
      <w:numFmt w:val="decimal"/>
      <w:lvlText w:val="%1.%2."/>
      <w:lvlJc w:val="left"/>
      <w:pPr>
        <w:ind w:left="23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8" w15:restartNumberingAfterBreak="0">
    <w:nsid w:val="7ECA63F4"/>
    <w:multiLevelType w:val="hybridMultilevel"/>
    <w:tmpl w:val="AB48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6"/>
  </w:num>
  <w:num w:numId="4">
    <w:abstractNumId w:val="14"/>
  </w:num>
  <w:num w:numId="5">
    <w:abstractNumId w:val="10"/>
  </w:num>
  <w:num w:numId="6">
    <w:abstractNumId w:val="0"/>
  </w:num>
  <w:num w:numId="7">
    <w:abstractNumId w:val="4"/>
  </w:num>
  <w:num w:numId="8">
    <w:abstractNumId w:val="15"/>
  </w:num>
  <w:num w:numId="9">
    <w:abstractNumId w:val="30"/>
  </w:num>
  <w:num w:numId="10">
    <w:abstractNumId w:val="28"/>
  </w:num>
  <w:num w:numId="11">
    <w:abstractNumId w:val="21"/>
  </w:num>
  <w:num w:numId="12">
    <w:abstractNumId w:val="37"/>
  </w:num>
  <w:num w:numId="13">
    <w:abstractNumId w:val="11"/>
  </w:num>
  <w:num w:numId="14">
    <w:abstractNumId w:val="8"/>
  </w:num>
  <w:num w:numId="15">
    <w:abstractNumId w:val="33"/>
  </w:num>
  <w:num w:numId="16">
    <w:abstractNumId w:val="29"/>
  </w:num>
  <w:num w:numId="17">
    <w:abstractNumId w:val="23"/>
  </w:num>
  <w:num w:numId="18">
    <w:abstractNumId w:val="38"/>
  </w:num>
  <w:num w:numId="19">
    <w:abstractNumId w:val="7"/>
  </w:num>
  <w:num w:numId="20">
    <w:abstractNumId w:val="3"/>
  </w:num>
  <w:num w:numId="21">
    <w:abstractNumId w:val="22"/>
  </w:num>
  <w:num w:numId="22">
    <w:abstractNumId w:val="34"/>
  </w:num>
  <w:num w:numId="23">
    <w:abstractNumId w:val="36"/>
  </w:num>
  <w:num w:numId="24">
    <w:abstractNumId w:val="17"/>
  </w:num>
  <w:num w:numId="25">
    <w:abstractNumId w:val="32"/>
  </w:num>
  <w:num w:numId="26">
    <w:abstractNumId w:val="35"/>
  </w:num>
  <w:num w:numId="27">
    <w:abstractNumId w:val="5"/>
  </w:num>
  <w:num w:numId="28">
    <w:abstractNumId w:val="26"/>
  </w:num>
  <w:num w:numId="29">
    <w:abstractNumId w:val="12"/>
  </w:num>
  <w:num w:numId="30">
    <w:abstractNumId w:val="16"/>
  </w:num>
  <w:num w:numId="31">
    <w:abstractNumId w:val="27"/>
  </w:num>
  <w:num w:numId="32">
    <w:abstractNumId w:val="9"/>
  </w:num>
  <w:num w:numId="33">
    <w:abstractNumId w:val="2"/>
  </w:num>
  <w:num w:numId="34">
    <w:abstractNumId w:val="19"/>
  </w:num>
  <w:num w:numId="35">
    <w:abstractNumId w:val="13"/>
  </w:num>
  <w:num w:numId="36">
    <w:abstractNumId w:val="18"/>
  </w:num>
  <w:num w:numId="37">
    <w:abstractNumId w:val="31"/>
  </w:num>
  <w:num w:numId="38">
    <w:abstractNumId w:val="25"/>
  </w:num>
  <w:num w:numId="39">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BB0"/>
    <w:rsid w:val="00003605"/>
    <w:rsid w:val="000165CA"/>
    <w:rsid w:val="0002729F"/>
    <w:rsid w:val="00033045"/>
    <w:rsid w:val="00035B22"/>
    <w:rsid w:val="0004685B"/>
    <w:rsid w:val="000570EC"/>
    <w:rsid w:val="000734A7"/>
    <w:rsid w:val="00080740"/>
    <w:rsid w:val="00087A9A"/>
    <w:rsid w:val="00090C92"/>
    <w:rsid w:val="00093941"/>
    <w:rsid w:val="000A0528"/>
    <w:rsid w:val="000A16A8"/>
    <w:rsid w:val="000A2B5E"/>
    <w:rsid w:val="000B0D1F"/>
    <w:rsid w:val="000B1DD4"/>
    <w:rsid w:val="000B2E23"/>
    <w:rsid w:val="000B51F0"/>
    <w:rsid w:val="000C2A0F"/>
    <w:rsid w:val="000D791A"/>
    <w:rsid w:val="000E0C81"/>
    <w:rsid w:val="000F1485"/>
    <w:rsid w:val="001010B4"/>
    <w:rsid w:val="001018B3"/>
    <w:rsid w:val="00105B36"/>
    <w:rsid w:val="00113DA4"/>
    <w:rsid w:val="00124939"/>
    <w:rsid w:val="00124A6B"/>
    <w:rsid w:val="0012627A"/>
    <w:rsid w:val="00133713"/>
    <w:rsid w:val="00145760"/>
    <w:rsid w:val="00151B85"/>
    <w:rsid w:val="00151F93"/>
    <w:rsid w:val="00153293"/>
    <w:rsid w:val="00156FF4"/>
    <w:rsid w:val="00157D4A"/>
    <w:rsid w:val="00160FE7"/>
    <w:rsid w:val="00163AD1"/>
    <w:rsid w:val="00164BED"/>
    <w:rsid w:val="00172C66"/>
    <w:rsid w:val="00175DA2"/>
    <w:rsid w:val="0018649B"/>
    <w:rsid w:val="00186CE9"/>
    <w:rsid w:val="00192995"/>
    <w:rsid w:val="00193BE1"/>
    <w:rsid w:val="001959AC"/>
    <w:rsid w:val="001A0C17"/>
    <w:rsid w:val="001A56A6"/>
    <w:rsid w:val="001A68A7"/>
    <w:rsid w:val="001B1173"/>
    <w:rsid w:val="001B6290"/>
    <w:rsid w:val="001C1FB6"/>
    <w:rsid w:val="001C4022"/>
    <w:rsid w:val="001C604E"/>
    <w:rsid w:val="001E526C"/>
    <w:rsid w:val="001F1C03"/>
    <w:rsid w:val="002011BF"/>
    <w:rsid w:val="00213D83"/>
    <w:rsid w:val="00214C4F"/>
    <w:rsid w:val="00215325"/>
    <w:rsid w:val="002203FB"/>
    <w:rsid w:val="0022575A"/>
    <w:rsid w:val="00233406"/>
    <w:rsid w:val="00245C91"/>
    <w:rsid w:val="00250FBA"/>
    <w:rsid w:val="00251636"/>
    <w:rsid w:val="00260574"/>
    <w:rsid w:val="0026560D"/>
    <w:rsid w:val="00273416"/>
    <w:rsid w:val="00273AA2"/>
    <w:rsid w:val="002757DE"/>
    <w:rsid w:val="00286DC7"/>
    <w:rsid w:val="00293CA8"/>
    <w:rsid w:val="002A11E0"/>
    <w:rsid w:val="002B1D6C"/>
    <w:rsid w:val="002B586D"/>
    <w:rsid w:val="002C5DA9"/>
    <w:rsid w:val="002E114E"/>
    <w:rsid w:val="002E77EA"/>
    <w:rsid w:val="00301B33"/>
    <w:rsid w:val="00325B98"/>
    <w:rsid w:val="003264C4"/>
    <w:rsid w:val="00327D9A"/>
    <w:rsid w:val="00330A6B"/>
    <w:rsid w:val="00340895"/>
    <w:rsid w:val="003461FC"/>
    <w:rsid w:val="00346D57"/>
    <w:rsid w:val="00354A10"/>
    <w:rsid w:val="00360233"/>
    <w:rsid w:val="00371489"/>
    <w:rsid w:val="00383B5F"/>
    <w:rsid w:val="003871F1"/>
    <w:rsid w:val="003A0A89"/>
    <w:rsid w:val="003B17BC"/>
    <w:rsid w:val="003C2184"/>
    <w:rsid w:val="003C64C8"/>
    <w:rsid w:val="003E708F"/>
    <w:rsid w:val="003F149C"/>
    <w:rsid w:val="00402EDE"/>
    <w:rsid w:val="004138F9"/>
    <w:rsid w:val="00432174"/>
    <w:rsid w:val="004434F7"/>
    <w:rsid w:val="004438E2"/>
    <w:rsid w:val="004462F0"/>
    <w:rsid w:val="004508BF"/>
    <w:rsid w:val="00452158"/>
    <w:rsid w:val="00461ECE"/>
    <w:rsid w:val="00467F2A"/>
    <w:rsid w:val="00486E31"/>
    <w:rsid w:val="00490D2A"/>
    <w:rsid w:val="00493B82"/>
    <w:rsid w:val="004A67BF"/>
    <w:rsid w:val="004C112D"/>
    <w:rsid w:val="004C1838"/>
    <w:rsid w:val="004C3F63"/>
    <w:rsid w:val="004C4642"/>
    <w:rsid w:val="004C60C5"/>
    <w:rsid w:val="004D027B"/>
    <w:rsid w:val="004D178E"/>
    <w:rsid w:val="00503913"/>
    <w:rsid w:val="005138EE"/>
    <w:rsid w:val="005209F8"/>
    <w:rsid w:val="00524A53"/>
    <w:rsid w:val="00527AE8"/>
    <w:rsid w:val="0053480E"/>
    <w:rsid w:val="00544524"/>
    <w:rsid w:val="00580DC6"/>
    <w:rsid w:val="00585DA9"/>
    <w:rsid w:val="0059103B"/>
    <w:rsid w:val="005A2141"/>
    <w:rsid w:val="005A641F"/>
    <w:rsid w:val="005A6ADD"/>
    <w:rsid w:val="005A7B2D"/>
    <w:rsid w:val="005B3BAB"/>
    <w:rsid w:val="005B4916"/>
    <w:rsid w:val="005C424C"/>
    <w:rsid w:val="005C5053"/>
    <w:rsid w:val="005E729E"/>
    <w:rsid w:val="005F0ECF"/>
    <w:rsid w:val="0060145D"/>
    <w:rsid w:val="00601D93"/>
    <w:rsid w:val="00602C5D"/>
    <w:rsid w:val="00610C0A"/>
    <w:rsid w:val="00613C7E"/>
    <w:rsid w:val="0062268D"/>
    <w:rsid w:val="00624805"/>
    <w:rsid w:val="006325C2"/>
    <w:rsid w:val="00632D0F"/>
    <w:rsid w:val="00640CB1"/>
    <w:rsid w:val="0064123B"/>
    <w:rsid w:val="00647DE2"/>
    <w:rsid w:val="00650173"/>
    <w:rsid w:val="0065052D"/>
    <w:rsid w:val="00654F8C"/>
    <w:rsid w:val="00655F53"/>
    <w:rsid w:val="0065618B"/>
    <w:rsid w:val="006567DE"/>
    <w:rsid w:val="00664A94"/>
    <w:rsid w:val="006702C1"/>
    <w:rsid w:val="00677889"/>
    <w:rsid w:val="00686773"/>
    <w:rsid w:val="00693D9F"/>
    <w:rsid w:val="006A0747"/>
    <w:rsid w:val="006B239B"/>
    <w:rsid w:val="006B27B4"/>
    <w:rsid w:val="006B4354"/>
    <w:rsid w:val="006B4554"/>
    <w:rsid w:val="006D0327"/>
    <w:rsid w:val="006D4C8D"/>
    <w:rsid w:val="006D7688"/>
    <w:rsid w:val="006F1946"/>
    <w:rsid w:val="007005A7"/>
    <w:rsid w:val="00701908"/>
    <w:rsid w:val="0073739F"/>
    <w:rsid w:val="0074196D"/>
    <w:rsid w:val="00747C68"/>
    <w:rsid w:val="00752349"/>
    <w:rsid w:val="00753AB6"/>
    <w:rsid w:val="00756B15"/>
    <w:rsid w:val="00757969"/>
    <w:rsid w:val="00763C0E"/>
    <w:rsid w:val="00764B67"/>
    <w:rsid w:val="00764E5A"/>
    <w:rsid w:val="00780D66"/>
    <w:rsid w:val="007A4CD2"/>
    <w:rsid w:val="007B2FCE"/>
    <w:rsid w:val="007B3282"/>
    <w:rsid w:val="007B45F6"/>
    <w:rsid w:val="007B4A97"/>
    <w:rsid w:val="007B5182"/>
    <w:rsid w:val="007B7557"/>
    <w:rsid w:val="007C01FB"/>
    <w:rsid w:val="007C18F9"/>
    <w:rsid w:val="007C6EA6"/>
    <w:rsid w:val="007C7039"/>
    <w:rsid w:val="007D1276"/>
    <w:rsid w:val="007D36A9"/>
    <w:rsid w:val="007D7CC2"/>
    <w:rsid w:val="007E034A"/>
    <w:rsid w:val="007F4330"/>
    <w:rsid w:val="007F7E39"/>
    <w:rsid w:val="008114F3"/>
    <w:rsid w:val="008138BF"/>
    <w:rsid w:val="008141E6"/>
    <w:rsid w:val="00817B71"/>
    <w:rsid w:val="00833662"/>
    <w:rsid w:val="00837877"/>
    <w:rsid w:val="00845054"/>
    <w:rsid w:val="00846F8D"/>
    <w:rsid w:val="0085673E"/>
    <w:rsid w:val="00884AB8"/>
    <w:rsid w:val="0089088D"/>
    <w:rsid w:val="00897519"/>
    <w:rsid w:val="008A06C4"/>
    <w:rsid w:val="008A4BB4"/>
    <w:rsid w:val="008A56AC"/>
    <w:rsid w:val="008B387E"/>
    <w:rsid w:val="008C176B"/>
    <w:rsid w:val="008C6F59"/>
    <w:rsid w:val="008E717B"/>
    <w:rsid w:val="008E73F7"/>
    <w:rsid w:val="008F340A"/>
    <w:rsid w:val="008F3B7F"/>
    <w:rsid w:val="008F611A"/>
    <w:rsid w:val="009071D2"/>
    <w:rsid w:val="009173C1"/>
    <w:rsid w:val="009178D9"/>
    <w:rsid w:val="00922C4C"/>
    <w:rsid w:val="00922F90"/>
    <w:rsid w:val="00927224"/>
    <w:rsid w:val="00940484"/>
    <w:rsid w:val="00941F51"/>
    <w:rsid w:val="00954BE5"/>
    <w:rsid w:val="00960560"/>
    <w:rsid w:val="00962BAB"/>
    <w:rsid w:val="00964C0D"/>
    <w:rsid w:val="0098499F"/>
    <w:rsid w:val="00986E1A"/>
    <w:rsid w:val="00990BD9"/>
    <w:rsid w:val="009924A6"/>
    <w:rsid w:val="009942C6"/>
    <w:rsid w:val="00995106"/>
    <w:rsid w:val="009959E0"/>
    <w:rsid w:val="009D2A30"/>
    <w:rsid w:val="009D45D9"/>
    <w:rsid w:val="009D6F78"/>
    <w:rsid w:val="009E0DD1"/>
    <w:rsid w:val="009E1B2D"/>
    <w:rsid w:val="009E3659"/>
    <w:rsid w:val="009F3370"/>
    <w:rsid w:val="00A16176"/>
    <w:rsid w:val="00A3076C"/>
    <w:rsid w:val="00A4198D"/>
    <w:rsid w:val="00A5217F"/>
    <w:rsid w:val="00A55BB0"/>
    <w:rsid w:val="00A63107"/>
    <w:rsid w:val="00A855C8"/>
    <w:rsid w:val="00A85F6E"/>
    <w:rsid w:val="00A93FF5"/>
    <w:rsid w:val="00A97903"/>
    <w:rsid w:val="00AB2B92"/>
    <w:rsid w:val="00AE529B"/>
    <w:rsid w:val="00B003B1"/>
    <w:rsid w:val="00B104CC"/>
    <w:rsid w:val="00B17050"/>
    <w:rsid w:val="00B22F7B"/>
    <w:rsid w:val="00B274B5"/>
    <w:rsid w:val="00B36FE3"/>
    <w:rsid w:val="00B43532"/>
    <w:rsid w:val="00B45C34"/>
    <w:rsid w:val="00B55D55"/>
    <w:rsid w:val="00B57173"/>
    <w:rsid w:val="00B65B22"/>
    <w:rsid w:val="00B74CF7"/>
    <w:rsid w:val="00B91140"/>
    <w:rsid w:val="00B92316"/>
    <w:rsid w:val="00BA2C8D"/>
    <w:rsid w:val="00BA52AE"/>
    <w:rsid w:val="00BB2ECB"/>
    <w:rsid w:val="00BC2293"/>
    <w:rsid w:val="00BC46F2"/>
    <w:rsid w:val="00BC64AC"/>
    <w:rsid w:val="00BC6621"/>
    <w:rsid w:val="00BD3094"/>
    <w:rsid w:val="00BD5007"/>
    <w:rsid w:val="00BD5DD0"/>
    <w:rsid w:val="00BE5D2E"/>
    <w:rsid w:val="00BF417D"/>
    <w:rsid w:val="00C02C9D"/>
    <w:rsid w:val="00C108FC"/>
    <w:rsid w:val="00C126E4"/>
    <w:rsid w:val="00C223E8"/>
    <w:rsid w:val="00C249C6"/>
    <w:rsid w:val="00C24FAE"/>
    <w:rsid w:val="00C25572"/>
    <w:rsid w:val="00C25880"/>
    <w:rsid w:val="00C2736D"/>
    <w:rsid w:val="00C35919"/>
    <w:rsid w:val="00C37F4F"/>
    <w:rsid w:val="00C41F6D"/>
    <w:rsid w:val="00C67420"/>
    <w:rsid w:val="00C7341C"/>
    <w:rsid w:val="00C7597C"/>
    <w:rsid w:val="00C85680"/>
    <w:rsid w:val="00C85E6B"/>
    <w:rsid w:val="00C96B7E"/>
    <w:rsid w:val="00CA07BA"/>
    <w:rsid w:val="00CA21AE"/>
    <w:rsid w:val="00CA23DC"/>
    <w:rsid w:val="00CA4B5C"/>
    <w:rsid w:val="00CB10FB"/>
    <w:rsid w:val="00CB5913"/>
    <w:rsid w:val="00CC0A48"/>
    <w:rsid w:val="00CC2B3D"/>
    <w:rsid w:val="00CC64FE"/>
    <w:rsid w:val="00CC7EA8"/>
    <w:rsid w:val="00CD0762"/>
    <w:rsid w:val="00CD171C"/>
    <w:rsid w:val="00CF605C"/>
    <w:rsid w:val="00D00EA6"/>
    <w:rsid w:val="00D01E56"/>
    <w:rsid w:val="00D02E61"/>
    <w:rsid w:val="00D053A3"/>
    <w:rsid w:val="00D14A79"/>
    <w:rsid w:val="00D159D8"/>
    <w:rsid w:val="00D56D64"/>
    <w:rsid w:val="00D610DF"/>
    <w:rsid w:val="00D7058C"/>
    <w:rsid w:val="00D81D7A"/>
    <w:rsid w:val="00D931B6"/>
    <w:rsid w:val="00D97FB1"/>
    <w:rsid w:val="00DB2498"/>
    <w:rsid w:val="00DC1FED"/>
    <w:rsid w:val="00DC2994"/>
    <w:rsid w:val="00DD07AA"/>
    <w:rsid w:val="00DD1A9B"/>
    <w:rsid w:val="00DD53D5"/>
    <w:rsid w:val="00DD5B6E"/>
    <w:rsid w:val="00DE0D06"/>
    <w:rsid w:val="00DF2156"/>
    <w:rsid w:val="00DF51E0"/>
    <w:rsid w:val="00DF7AA2"/>
    <w:rsid w:val="00E00285"/>
    <w:rsid w:val="00E3193E"/>
    <w:rsid w:val="00E47738"/>
    <w:rsid w:val="00E47C9B"/>
    <w:rsid w:val="00E6361F"/>
    <w:rsid w:val="00E65B4D"/>
    <w:rsid w:val="00E760DC"/>
    <w:rsid w:val="00E766C0"/>
    <w:rsid w:val="00E7685F"/>
    <w:rsid w:val="00E81821"/>
    <w:rsid w:val="00EB29ED"/>
    <w:rsid w:val="00ED5187"/>
    <w:rsid w:val="00ED56FD"/>
    <w:rsid w:val="00ED6BCF"/>
    <w:rsid w:val="00EE1D10"/>
    <w:rsid w:val="00EE4E03"/>
    <w:rsid w:val="00EF230B"/>
    <w:rsid w:val="00F0184D"/>
    <w:rsid w:val="00F24AB9"/>
    <w:rsid w:val="00F3709B"/>
    <w:rsid w:val="00F40AA7"/>
    <w:rsid w:val="00F43AED"/>
    <w:rsid w:val="00F55141"/>
    <w:rsid w:val="00F615D3"/>
    <w:rsid w:val="00F73FB7"/>
    <w:rsid w:val="00F77CF6"/>
    <w:rsid w:val="00FA084F"/>
    <w:rsid w:val="00FA178F"/>
    <w:rsid w:val="00FA47C1"/>
    <w:rsid w:val="00FC2F0B"/>
    <w:rsid w:val="00FC6F58"/>
    <w:rsid w:val="00FD3B5D"/>
    <w:rsid w:val="00FE2740"/>
    <w:rsid w:val="00FE58D9"/>
    <w:rsid w:val="00FE6AAF"/>
    <w:rsid w:val="00FE7443"/>
    <w:rsid w:val="00FF1660"/>
    <w:rsid w:val="00FF70C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4:docId w14:val="7590E4F4"/>
  <w15:docId w15:val="{6D3ED2F0-A3BF-487D-BE40-40A8F259A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076C"/>
    <w:pPr>
      <w:keepLines/>
      <w:widowControl w:val="0"/>
      <w:spacing w:after="240"/>
    </w:pPr>
    <w:rPr>
      <w:rFonts w:ascii="Arial" w:eastAsia="Times New Roman" w:hAnsi="Arial" w:cs="Times New Roman"/>
      <w:color w:val="221F20"/>
      <w:sz w:val="21"/>
      <w:szCs w:val="24"/>
    </w:rPr>
  </w:style>
  <w:style w:type="paragraph" w:styleId="Heading1">
    <w:name w:val="heading 1"/>
    <w:next w:val="BodyText"/>
    <w:link w:val="Heading1Char"/>
    <w:qFormat/>
    <w:rsid w:val="00A4198D"/>
    <w:pPr>
      <w:keepNext/>
      <w:widowControl w:val="0"/>
      <w:spacing w:before="360" w:after="240" w:line="240" w:lineRule="auto"/>
      <w:outlineLvl w:val="0"/>
    </w:pPr>
    <w:rPr>
      <w:rFonts w:ascii="Arial" w:eastAsia="Arial Unicode MS" w:hAnsi="Arial" w:cs="Times New Roman"/>
      <w:b/>
      <w:color w:val="046E9C" w:themeColor="text2"/>
      <w:sz w:val="32"/>
      <w:szCs w:val="44"/>
    </w:rPr>
  </w:style>
  <w:style w:type="paragraph" w:styleId="Heading2">
    <w:name w:val="heading 2"/>
    <w:basedOn w:val="Heading1"/>
    <w:next w:val="BodyText"/>
    <w:link w:val="Heading2Char"/>
    <w:qFormat/>
    <w:rsid w:val="006D0327"/>
    <w:pPr>
      <w:outlineLvl w:val="1"/>
    </w:pPr>
    <w:rPr>
      <w:color w:val="363535" w:themeColor="text1"/>
      <w:sz w:val="28"/>
    </w:rPr>
  </w:style>
  <w:style w:type="paragraph" w:styleId="Heading3">
    <w:name w:val="heading 3"/>
    <w:basedOn w:val="Heading2"/>
    <w:next w:val="BodyText"/>
    <w:link w:val="Heading3Char"/>
    <w:qFormat/>
    <w:rsid w:val="00E766C0"/>
    <w:pPr>
      <w:numPr>
        <w:ilvl w:val="2"/>
      </w:numPr>
      <w:outlineLvl w:val="2"/>
    </w:pPr>
    <w:rPr>
      <w:color w:val="046E9C" w:themeColor="text2"/>
      <w:sz w:val="24"/>
    </w:rPr>
  </w:style>
  <w:style w:type="paragraph" w:styleId="Heading4">
    <w:name w:val="heading 4"/>
    <w:basedOn w:val="Heading3"/>
    <w:next w:val="BodyText"/>
    <w:link w:val="Heading4Char"/>
    <w:qFormat/>
    <w:rsid w:val="007005A7"/>
    <w:pPr>
      <w:numPr>
        <w:ilvl w:val="3"/>
      </w:numPr>
      <w:outlineLvl w:val="3"/>
    </w:pPr>
    <w:rPr>
      <w:color w:val="363535" w:themeColor="text1"/>
    </w:rPr>
  </w:style>
  <w:style w:type="paragraph" w:styleId="Heading5">
    <w:name w:val="heading 5"/>
    <w:basedOn w:val="Heading4"/>
    <w:next w:val="BodyText"/>
    <w:link w:val="Heading5Char"/>
    <w:qFormat/>
    <w:rsid w:val="007005A7"/>
    <w:pPr>
      <w:numPr>
        <w:ilvl w:val="4"/>
      </w:numPr>
      <w:outlineLvl w:val="4"/>
    </w:pPr>
    <w:rPr>
      <w:rFonts w:eastAsia="Times New Roman"/>
      <w:bCs/>
      <w:i/>
      <w:iCs/>
      <w:sz w:val="22"/>
      <w:szCs w:val="26"/>
    </w:rPr>
  </w:style>
  <w:style w:type="paragraph" w:styleId="Heading6">
    <w:name w:val="heading 6"/>
    <w:basedOn w:val="Heading5"/>
    <w:next w:val="BodyText"/>
    <w:link w:val="Heading6Char"/>
    <w:unhideWhenUsed/>
    <w:qFormat/>
    <w:rsid w:val="00214C4F"/>
    <w:pPr>
      <w:numPr>
        <w:ilvl w:val="5"/>
      </w:numPr>
      <w:outlineLvl w:val="5"/>
    </w:pPr>
    <w:rPr>
      <w:bCs w:val="0"/>
      <w:i w:val="0"/>
      <w:sz w:val="20"/>
      <w:szCs w:val="22"/>
    </w:rPr>
  </w:style>
  <w:style w:type="paragraph" w:styleId="Heading7">
    <w:name w:val="heading 7"/>
    <w:basedOn w:val="Heading6"/>
    <w:next w:val="BodyText"/>
    <w:link w:val="Heading7Char"/>
    <w:unhideWhenUsed/>
    <w:qFormat/>
    <w:rsid w:val="00214C4F"/>
    <w:pPr>
      <w:numPr>
        <w:ilvl w:val="6"/>
      </w:numPr>
      <w:outlineLvl w:val="6"/>
    </w:pPr>
    <w:rPr>
      <w:i/>
    </w:rPr>
  </w:style>
  <w:style w:type="paragraph" w:styleId="Heading8">
    <w:name w:val="heading 8"/>
    <w:basedOn w:val="Heading7"/>
    <w:next w:val="BodyText"/>
    <w:link w:val="Heading8Char"/>
    <w:unhideWhenUsed/>
    <w:qFormat/>
    <w:rsid w:val="00214C4F"/>
    <w:pPr>
      <w:numPr>
        <w:ilvl w:val="7"/>
      </w:numPr>
      <w:outlineLvl w:val="7"/>
    </w:pPr>
    <w:rPr>
      <w:i w:val="0"/>
      <w:iCs w:val="0"/>
      <w:sz w:val="18"/>
    </w:rPr>
  </w:style>
  <w:style w:type="paragraph" w:styleId="Heading9">
    <w:name w:val="heading 9"/>
    <w:basedOn w:val="Heading8"/>
    <w:next w:val="BodyText"/>
    <w:link w:val="Heading9Char"/>
    <w:unhideWhenUsed/>
    <w:qFormat/>
    <w:rsid w:val="00214C4F"/>
    <w:pPr>
      <w:numPr>
        <w:ilvl w:val="8"/>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198D"/>
    <w:rPr>
      <w:rFonts w:ascii="Arial" w:eastAsia="Arial Unicode MS" w:hAnsi="Arial" w:cs="Times New Roman"/>
      <w:b/>
      <w:color w:val="046E9C" w:themeColor="text2"/>
      <w:sz w:val="32"/>
      <w:szCs w:val="44"/>
    </w:rPr>
  </w:style>
  <w:style w:type="paragraph" w:styleId="BodyText">
    <w:name w:val="Body Text"/>
    <w:link w:val="BodyTextChar"/>
    <w:qFormat/>
    <w:rsid w:val="0073739F"/>
    <w:pPr>
      <w:spacing w:after="240"/>
    </w:pPr>
    <w:rPr>
      <w:rFonts w:ascii="Arial" w:eastAsia="Times New Roman" w:hAnsi="Arial" w:cs="Times New Roman"/>
      <w:color w:val="221F20"/>
      <w:sz w:val="21"/>
      <w:szCs w:val="21"/>
    </w:rPr>
  </w:style>
  <w:style w:type="character" w:customStyle="1" w:styleId="BodyTextChar">
    <w:name w:val="Body Text Char"/>
    <w:basedOn w:val="DefaultParagraphFont"/>
    <w:link w:val="BodyText"/>
    <w:rsid w:val="0073739F"/>
    <w:rPr>
      <w:rFonts w:ascii="Arial" w:eastAsia="Times New Roman" w:hAnsi="Arial" w:cs="Times New Roman"/>
      <w:color w:val="221F20"/>
      <w:sz w:val="21"/>
      <w:szCs w:val="21"/>
    </w:rPr>
  </w:style>
  <w:style w:type="paragraph" w:customStyle="1" w:styleId="AppendixHeading">
    <w:name w:val="Appendix Heading"/>
    <w:basedOn w:val="Heading1"/>
    <w:next w:val="BodyText"/>
    <w:rsid w:val="00214C4F"/>
    <w:pPr>
      <w:widowControl/>
      <w:tabs>
        <w:tab w:val="left" w:pos="1985"/>
      </w:tabs>
      <w:ind w:left="1985" w:hanging="1985"/>
    </w:pPr>
    <w:rPr>
      <w:bCs/>
      <w:szCs w:val="21"/>
    </w:rPr>
  </w:style>
  <w:style w:type="paragraph" w:customStyle="1" w:styleId="AuthorInfo">
    <w:name w:val="AuthorInfo"/>
    <w:basedOn w:val="Normal"/>
    <w:semiHidden/>
    <w:rsid w:val="00214C4F"/>
    <w:pPr>
      <w:shd w:val="clear" w:color="FFFFFF" w:fill="auto"/>
      <w:spacing w:before="120" w:after="120"/>
      <w:jc w:val="center"/>
    </w:pPr>
    <w:rPr>
      <w:rFonts w:ascii="Verdana" w:hAnsi="Verdana"/>
      <w:sz w:val="22"/>
      <w:lang w:eastAsia="en-AU"/>
    </w:rPr>
  </w:style>
  <w:style w:type="paragraph" w:styleId="BlockText">
    <w:name w:val="Block Text"/>
    <w:basedOn w:val="Normal"/>
    <w:semiHidden/>
    <w:rsid w:val="00214C4F"/>
    <w:pPr>
      <w:spacing w:after="120"/>
      <w:ind w:left="1440" w:right="1440"/>
    </w:pPr>
  </w:style>
  <w:style w:type="paragraph" w:styleId="BodyText2">
    <w:name w:val="Body Text 2"/>
    <w:basedOn w:val="BodyText"/>
    <w:link w:val="BodyText2Char"/>
    <w:semiHidden/>
    <w:unhideWhenUsed/>
    <w:rsid w:val="00214C4F"/>
    <w:pPr>
      <w:spacing w:after="120"/>
    </w:pPr>
    <w:rPr>
      <w:i/>
    </w:rPr>
  </w:style>
  <w:style w:type="character" w:customStyle="1" w:styleId="BodyText2Char">
    <w:name w:val="Body Text 2 Char"/>
    <w:basedOn w:val="DefaultParagraphFont"/>
    <w:link w:val="BodyText2"/>
    <w:semiHidden/>
    <w:rsid w:val="00214C4F"/>
    <w:rPr>
      <w:rFonts w:ascii="Arial" w:eastAsia="Times New Roman" w:hAnsi="Arial" w:cs="Times New Roman"/>
      <w:i/>
      <w:color w:val="221F20"/>
      <w:sz w:val="21"/>
      <w:szCs w:val="21"/>
    </w:rPr>
  </w:style>
  <w:style w:type="paragraph" w:styleId="BodyText3">
    <w:name w:val="Body Text 3"/>
    <w:basedOn w:val="BodyText"/>
    <w:link w:val="BodyText3Char"/>
    <w:semiHidden/>
    <w:unhideWhenUsed/>
    <w:rsid w:val="00214C4F"/>
    <w:pPr>
      <w:spacing w:after="120"/>
    </w:pPr>
    <w:rPr>
      <w:sz w:val="18"/>
      <w:szCs w:val="16"/>
    </w:rPr>
  </w:style>
  <w:style w:type="character" w:customStyle="1" w:styleId="BodyText3Char">
    <w:name w:val="Body Text 3 Char"/>
    <w:basedOn w:val="DefaultParagraphFont"/>
    <w:link w:val="BodyText3"/>
    <w:semiHidden/>
    <w:rsid w:val="00214C4F"/>
    <w:rPr>
      <w:rFonts w:ascii="Arial" w:eastAsia="Times New Roman" w:hAnsi="Arial" w:cs="Times New Roman"/>
      <w:color w:val="221F20"/>
      <w:sz w:val="18"/>
      <w:szCs w:val="16"/>
    </w:rPr>
  </w:style>
  <w:style w:type="paragraph" w:customStyle="1" w:styleId="BodyTextIntro">
    <w:name w:val="Body Text Intro"/>
    <w:basedOn w:val="BodyText"/>
    <w:next w:val="BodyText"/>
    <w:rsid w:val="00C67420"/>
    <w:rPr>
      <w:b/>
      <w:i/>
      <w:color w:val="606060" w:themeColor="background2"/>
      <w:sz w:val="22"/>
    </w:rPr>
  </w:style>
  <w:style w:type="paragraph" w:customStyle="1" w:styleId="BodyTextLeader">
    <w:name w:val="Body Text Leader"/>
    <w:basedOn w:val="BodyText"/>
    <w:next w:val="BodyText"/>
    <w:rsid w:val="00214C4F"/>
    <w:pPr>
      <w:keepNext/>
    </w:pPr>
  </w:style>
  <w:style w:type="paragraph" w:styleId="Caption">
    <w:name w:val="caption"/>
    <w:basedOn w:val="BodyText"/>
    <w:next w:val="BodyText"/>
    <w:unhideWhenUsed/>
    <w:qFormat/>
    <w:rsid w:val="00F77CF6"/>
    <w:rPr>
      <w:b/>
      <w:bCs/>
      <w:sz w:val="16"/>
    </w:rPr>
  </w:style>
  <w:style w:type="paragraph" w:styleId="CommentText">
    <w:name w:val="annotation text"/>
    <w:basedOn w:val="BodyText"/>
    <w:link w:val="CommentTextChar"/>
    <w:uiPriority w:val="99"/>
    <w:semiHidden/>
    <w:rsid w:val="00214C4F"/>
  </w:style>
  <w:style w:type="character" w:customStyle="1" w:styleId="CommentTextChar">
    <w:name w:val="Comment Text Char"/>
    <w:basedOn w:val="DefaultParagraphFont"/>
    <w:link w:val="CommentText"/>
    <w:uiPriority w:val="99"/>
    <w:semiHidden/>
    <w:rsid w:val="00214C4F"/>
    <w:rPr>
      <w:rFonts w:ascii="Arial" w:eastAsia="Times New Roman" w:hAnsi="Arial" w:cs="Times New Roman"/>
      <w:color w:val="221F20"/>
      <w:sz w:val="21"/>
      <w:szCs w:val="21"/>
    </w:rPr>
  </w:style>
  <w:style w:type="paragraph" w:customStyle="1" w:styleId="Reporttitle">
    <w:name w:val="Report title"/>
    <w:basedOn w:val="Heading1"/>
    <w:rsid w:val="00833662"/>
    <w:pPr>
      <w:keepNext w:val="0"/>
    </w:pPr>
    <w:rPr>
      <w:sz w:val="60"/>
      <w:szCs w:val="60"/>
    </w:rPr>
  </w:style>
  <w:style w:type="paragraph" w:customStyle="1" w:styleId="Reportsub">
    <w:name w:val="Report sub"/>
    <w:basedOn w:val="Heading2"/>
    <w:rsid w:val="00833662"/>
    <w:rPr>
      <w:i/>
    </w:rPr>
  </w:style>
  <w:style w:type="paragraph" w:customStyle="1" w:styleId="CoverHeading1">
    <w:name w:val="Cover Heading 1"/>
    <w:basedOn w:val="BodyText"/>
    <w:semiHidden/>
    <w:rsid w:val="00214C4F"/>
    <w:pPr>
      <w:spacing w:before="480" w:line="240" w:lineRule="auto"/>
    </w:pPr>
    <w:rPr>
      <w:b/>
      <w:color w:val="FFFFFF" w:themeColor="background1"/>
      <w:sz w:val="42"/>
    </w:rPr>
  </w:style>
  <w:style w:type="paragraph" w:customStyle="1" w:styleId="CoverHeading2">
    <w:name w:val="Cover Heading 2"/>
    <w:basedOn w:val="BodyText"/>
    <w:semiHidden/>
    <w:rsid w:val="00214C4F"/>
    <w:pPr>
      <w:spacing w:before="200" w:line="240" w:lineRule="auto"/>
    </w:pPr>
    <w:rPr>
      <w:b/>
      <w:i/>
      <w:color w:val="FFFFFF" w:themeColor="background1"/>
      <w:sz w:val="28"/>
      <w:szCs w:val="28"/>
    </w:rPr>
  </w:style>
  <w:style w:type="paragraph" w:styleId="Date">
    <w:name w:val="Date"/>
    <w:basedOn w:val="BodyText"/>
    <w:next w:val="BodyText"/>
    <w:link w:val="DateChar"/>
    <w:semiHidden/>
    <w:rsid w:val="00214C4F"/>
  </w:style>
  <w:style w:type="character" w:customStyle="1" w:styleId="DateChar">
    <w:name w:val="Date Char"/>
    <w:basedOn w:val="DefaultParagraphFont"/>
    <w:link w:val="Date"/>
    <w:semiHidden/>
    <w:rsid w:val="00214C4F"/>
    <w:rPr>
      <w:rFonts w:ascii="Arial" w:eastAsia="Times New Roman" w:hAnsi="Arial" w:cs="Times New Roman"/>
      <w:color w:val="221F20"/>
      <w:sz w:val="21"/>
      <w:szCs w:val="21"/>
    </w:rPr>
  </w:style>
  <w:style w:type="character" w:styleId="Emphasis">
    <w:name w:val="Emphasis"/>
    <w:basedOn w:val="BodyTextChar"/>
    <w:rsid w:val="00214C4F"/>
    <w:rPr>
      <w:rFonts w:ascii="Arial" w:eastAsia="Times New Roman" w:hAnsi="Arial" w:cs="Times New Roman"/>
      <w:i/>
      <w:iCs/>
      <w:color w:val="221F20"/>
      <w:sz w:val="21"/>
      <w:szCs w:val="21"/>
      <w:lang w:val="en-AU" w:eastAsia="en-US" w:bidi="ar-SA"/>
    </w:rPr>
  </w:style>
  <w:style w:type="character" w:styleId="EndnoteReference">
    <w:name w:val="endnote reference"/>
    <w:basedOn w:val="DefaultParagraphFont"/>
    <w:rsid w:val="00214C4F"/>
    <w:rPr>
      <w:rFonts w:ascii="Arial" w:hAnsi="Arial"/>
      <w:vertAlign w:val="superscript"/>
    </w:rPr>
  </w:style>
  <w:style w:type="paragraph" w:styleId="EndnoteText">
    <w:name w:val="endnote text"/>
    <w:basedOn w:val="BodyText"/>
    <w:link w:val="EndnoteTextChar"/>
    <w:rsid w:val="00214C4F"/>
    <w:rPr>
      <w:sz w:val="16"/>
    </w:rPr>
  </w:style>
  <w:style w:type="character" w:customStyle="1" w:styleId="EndnoteTextChar">
    <w:name w:val="Endnote Text Char"/>
    <w:basedOn w:val="DefaultParagraphFont"/>
    <w:link w:val="EndnoteText"/>
    <w:rsid w:val="00214C4F"/>
    <w:rPr>
      <w:rFonts w:ascii="Arial" w:eastAsia="Times New Roman" w:hAnsi="Arial" w:cs="Times New Roman"/>
      <w:color w:val="221F20"/>
      <w:sz w:val="16"/>
      <w:szCs w:val="21"/>
    </w:rPr>
  </w:style>
  <w:style w:type="character" w:styleId="FollowedHyperlink">
    <w:name w:val="FollowedHyperlink"/>
    <w:basedOn w:val="DefaultParagraphFont"/>
    <w:rsid w:val="00214C4F"/>
    <w:rPr>
      <w:color w:val="800080"/>
      <w:u w:val="single"/>
    </w:rPr>
  </w:style>
  <w:style w:type="paragraph" w:styleId="Footer">
    <w:name w:val="footer"/>
    <w:basedOn w:val="BodyText"/>
    <w:link w:val="FooterChar"/>
    <w:uiPriority w:val="99"/>
    <w:rsid w:val="00214C4F"/>
    <w:pPr>
      <w:tabs>
        <w:tab w:val="right" w:pos="9072"/>
      </w:tabs>
      <w:spacing w:before="240" w:line="240" w:lineRule="auto"/>
      <w:jc w:val="center"/>
    </w:pPr>
    <w:rPr>
      <w:b/>
      <w:color w:val="auto"/>
      <w:sz w:val="14"/>
    </w:rPr>
  </w:style>
  <w:style w:type="character" w:customStyle="1" w:styleId="FooterChar">
    <w:name w:val="Footer Char"/>
    <w:basedOn w:val="DefaultParagraphFont"/>
    <w:link w:val="Footer"/>
    <w:uiPriority w:val="99"/>
    <w:rsid w:val="00214C4F"/>
    <w:rPr>
      <w:rFonts w:ascii="Arial" w:eastAsia="Times New Roman" w:hAnsi="Arial" w:cs="Times New Roman"/>
      <w:b/>
      <w:sz w:val="14"/>
      <w:szCs w:val="21"/>
    </w:rPr>
  </w:style>
  <w:style w:type="character" w:styleId="FootnoteReference">
    <w:name w:val="footnote reference"/>
    <w:basedOn w:val="DefaultParagraphFont"/>
    <w:uiPriority w:val="99"/>
    <w:rsid w:val="00214C4F"/>
    <w:rPr>
      <w:rFonts w:ascii="Arial" w:hAnsi="Arial"/>
      <w:vertAlign w:val="superscript"/>
    </w:rPr>
  </w:style>
  <w:style w:type="paragraph" w:styleId="FootnoteText">
    <w:name w:val="footnote text"/>
    <w:basedOn w:val="BodyText"/>
    <w:link w:val="FootnoteTextChar"/>
    <w:rsid w:val="00214C4F"/>
    <w:rPr>
      <w:sz w:val="16"/>
    </w:rPr>
  </w:style>
  <w:style w:type="character" w:customStyle="1" w:styleId="FootnoteTextChar">
    <w:name w:val="Footnote Text Char"/>
    <w:basedOn w:val="DefaultParagraphFont"/>
    <w:link w:val="FootnoteText"/>
    <w:rsid w:val="00214C4F"/>
    <w:rPr>
      <w:rFonts w:ascii="Arial" w:eastAsia="Times New Roman" w:hAnsi="Arial" w:cs="Times New Roman"/>
      <w:color w:val="221F20"/>
      <w:sz w:val="16"/>
      <w:szCs w:val="21"/>
    </w:rPr>
  </w:style>
  <w:style w:type="paragraph" w:styleId="Header">
    <w:name w:val="header"/>
    <w:basedOn w:val="BodyText"/>
    <w:link w:val="HeaderChar"/>
    <w:rsid w:val="00214C4F"/>
    <w:pPr>
      <w:pBdr>
        <w:bottom w:val="single" w:sz="4" w:space="1" w:color="002C5F"/>
      </w:pBdr>
      <w:tabs>
        <w:tab w:val="center" w:pos="4153"/>
        <w:tab w:val="right" w:pos="8306"/>
      </w:tabs>
      <w:spacing w:before="120" w:line="240" w:lineRule="auto"/>
    </w:pPr>
    <w:rPr>
      <w:b/>
      <w:color w:val="002C5F"/>
      <w:sz w:val="18"/>
    </w:rPr>
  </w:style>
  <w:style w:type="character" w:customStyle="1" w:styleId="HeaderChar">
    <w:name w:val="Header Char"/>
    <w:basedOn w:val="DefaultParagraphFont"/>
    <w:link w:val="Header"/>
    <w:rsid w:val="00214C4F"/>
    <w:rPr>
      <w:rFonts w:ascii="Arial" w:eastAsia="Times New Roman" w:hAnsi="Arial" w:cs="Times New Roman"/>
      <w:b/>
      <w:color w:val="002C5F"/>
      <w:sz w:val="18"/>
      <w:szCs w:val="21"/>
    </w:rPr>
  </w:style>
  <w:style w:type="character" w:customStyle="1" w:styleId="Heading2Char">
    <w:name w:val="Heading 2 Char"/>
    <w:basedOn w:val="DefaultParagraphFont"/>
    <w:link w:val="Heading2"/>
    <w:rsid w:val="006D0327"/>
    <w:rPr>
      <w:rFonts w:ascii="Arial" w:eastAsia="Arial Unicode MS" w:hAnsi="Arial" w:cs="Times New Roman"/>
      <w:b/>
      <w:color w:val="363535" w:themeColor="text1"/>
      <w:sz w:val="28"/>
      <w:szCs w:val="44"/>
    </w:rPr>
  </w:style>
  <w:style w:type="character" w:customStyle="1" w:styleId="Heading3Char">
    <w:name w:val="Heading 3 Char"/>
    <w:basedOn w:val="DefaultParagraphFont"/>
    <w:link w:val="Heading3"/>
    <w:rsid w:val="00E766C0"/>
    <w:rPr>
      <w:rFonts w:ascii="Arial" w:eastAsia="Arial Unicode MS" w:hAnsi="Arial" w:cs="Times New Roman"/>
      <w:b/>
      <w:color w:val="046E9C" w:themeColor="text2"/>
      <w:sz w:val="24"/>
      <w:szCs w:val="44"/>
    </w:rPr>
  </w:style>
  <w:style w:type="character" w:customStyle="1" w:styleId="Heading4Char">
    <w:name w:val="Heading 4 Char"/>
    <w:basedOn w:val="DefaultParagraphFont"/>
    <w:link w:val="Heading4"/>
    <w:rsid w:val="007005A7"/>
    <w:rPr>
      <w:rFonts w:ascii="Arial" w:eastAsia="Arial Unicode MS" w:hAnsi="Arial" w:cs="Times New Roman"/>
      <w:b/>
      <w:color w:val="363535" w:themeColor="text1"/>
      <w:sz w:val="24"/>
      <w:szCs w:val="44"/>
    </w:rPr>
  </w:style>
  <w:style w:type="character" w:customStyle="1" w:styleId="Heading5Char">
    <w:name w:val="Heading 5 Char"/>
    <w:basedOn w:val="DefaultParagraphFont"/>
    <w:link w:val="Heading5"/>
    <w:rsid w:val="007005A7"/>
    <w:rPr>
      <w:rFonts w:ascii="Arial" w:eastAsia="Times New Roman" w:hAnsi="Arial" w:cs="Times New Roman"/>
      <w:b/>
      <w:bCs/>
      <w:i/>
      <w:iCs/>
      <w:color w:val="363535" w:themeColor="text1"/>
      <w:szCs w:val="26"/>
    </w:rPr>
  </w:style>
  <w:style w:type="character" w:customStyle="1" w:styleId="Heading6Char">
    <w:name w:val="Heading 6 Char"/>
    <w:basedOn w:val="DefaultParagraphFont"/>
    <w:link w:val="Heading6"/>
    <w:rsid w:val="00214C4F"/>
    <w:rPr>
      <w:rFonts w:ascii="Arial" w:eastAsia="Times New Roman" w:hAnsi="Arial" w:cs="Times New Roman"/>
      <w:b/>
      <w:iCs/>
      <w:sz w:val="20"/>
    </w:rPr>
  </w:style>
  <w:style w:type="character" w:customStyle="1" w:styleId="Heading7Char">
    <w:name w:val="Heading 7 Char"/>
    <w:basedOn w:val="DefaultParagraphFont"/>
    <w:link w:val="Heading7"/>
    <w:rsid w:val="00214C4F"/>
    <w:rPr>
      <w:rFonts w:ascii="Arial" w:eastAsia="Times New Roman" w:hAnsi="Arial" w:cs="Times New Roman"/>
      <w:b/>
      <w:i/>
      <w:iCs/>
      <w:sz w:val="20"/>
    </w:rPr>
  </w:style>
  <w:style w:type="character" w:customStyle="1" w:styleId="Heading8Char">
    <w:name w:val="Heading 8 Char"/>
    <w:basedOn w:val="DefaultParagraphFont"/>
    <w:link w:val="Heading8"/>
    <w:rsid w:val="00214C4F"/>
    <w:rPr>
      <w:rFonts w:ascii="Arial" w:eastAsia="Times New Roman" w:hAnsi="Arial" w:cs="Times New Roman"/>
      <w:b/>
      <w:sz w:val="18"/>
    </w:rPr>
  </w:style>
  <w:style w:type="character" w:customStyle="1" w:styleId="Heading9Char">
    <w:name w:val="Heading 9 Char"/>
    <w:basedOn w:val="DefaultParagraphFont"/>
    <w:link w:val="Heading9"/>
    <w:rsid w:val="00214C4F"/>
    <w:rPr>
      <w:rFonts w:ascii="Arial" w:eastAsia="Times New Roman" w:hAnsi="Arial" w:cs="Times New Roman"/>
      <w:b/>
      <w:i/>
      <w:sz w:val="18"/>
    </w:rPr>
  </w:style>
  <w:style w:type="paragraph" w:customStyle="1" w:styleId="msoaccenttext8">
    <w:name w:val="msoaccenttext8"/>
    <w:rsid w:val="002E77EA"/>
    <w:pPr>
      <w:spacing w:after="0" w:line="240" w:lineRule="auto"/>
    </w:pPr>
    <w:rPr>
      <w:rFonts w:ascii="Arial" w:eastAsia="Times New Roman" w:hAnsi="Arial" w:cs="Arial"/>
      <w:color w:val="000000"/>
      <w:kern w:val="28"/>
      <w:sz w:val="30"/>
      <w:szCs w:val="28"/>
      <w:lang w:eastAsia="en-AU"/>
      <w14:ligatures w14:val="standard"/>
      <w14:cntxtAlts/>
    </w:rPr>
  </w:style>
  <w:style w:type="paragraph" w:styleId="HTMLAddress">
    <w:name w:val="HTML Address"/>
    <w:basedOn w:val="Normal"/>
    <w:link w:val="HTMLAddressChar"/>
    <w:rsid w:val="00214C4F"/>
    <w:rPr>
      <w:i/>
      <w:iCs/>
    </w:rPr>
  </w:style>
  <w:style w:type="character" w:customStyle="1" w:styleId="HTMLAddressChar">
    <w:name w:val="HTML Address Char"/>
    <w:basedOn w:val="DefaultParagraphFont"/>
    <w:link w:val="HTMLAddress"/>
    <w:rsid w:val="00214C4F"/>
    <w:rPr>
      <w:rFonts w:ascii="Arial" w:eastAsia="Times New Roman" w:hAnsi="Arial" w:cs="Times New Roman"/>
      <w:i/>
      <w:iCs/>
      <w:color w:val="221F20"/>
      <w:sz w:val="21"/>
      <w:szCs w:val="24"/>
    </w:rPr>
  </w:style>
  <w:style w:type="character" w:styleId="Hyperlink">
    <w:name w:val="Hyperlink"/>
    <w:basedOn w:val="DefaultParagraphFont"/>
    <w:uiPriority w:val="99"/>
    <w:rsid w:val="00214C4F"/>
    <w:rPr>
      <w:rFonts w:ascii="Arial" w:hAnsi="Arial"/>
      <w:i/>
      <w:color w:val="auto"/>
      <w:sz w:val="20"/>
      <w:u w:val="none"/>
    </w:rPr>
  </w:style>
  <w:style w:type="paragraph" w:styleId="Index1">
    <w:name w:val="index 1"/>
    <w:basedOn w:val="Normal"/>
    <w:next w:val="Normal"/>
    <w:autoRedefine/>
    <w:uiPriority w:val="99"/>
    <w:semiHidden/>
    <w:unhideWhenUsed/>
    <w:rsid w:val="00214C4F"/>
    <w:pPr>
      <w:ind w:left="200" w:hanging="200"/>
    </w:pPr>
  </w:style>
  <w:style w:type="paragraph" w:styleId="IndexHeading">
    <w:name w:val="index heading"/>
    <w:basedOn w:val="Normal"/>
    <w:next w:val="Normal"/>
    <w:rsid w:val="00214C4F"/>
    <w:rPr>
      <w:b/>
      <w:bCs/>
      <w:sz w:val="18"/>
    </w:rPr>
  </w:style>
  <w:style w:type="character" w:styleId="IntenseEmphasis">
    <w:name w:val="Intense Emphasis"/>
    <w:basedOn w:val="DefaultParagraphFont"/>
    <w:uiPriority w:val="21"/>
    <w:qFormat/>
    <w:rsid w:val="00214C4F"/>
    <w:rPr>
      <w:b/>
      <w:bCs/>
      <w:i/>
      <w:iCs/>
      <w:color w:val="046E9C" w:themeColor="accent1"/>
    </w:rPr>
  </w:style>
  <w:style w:type="character" w:styleId="IntenseReference">
    <w:name w:val="Intense Reference"/>
    <w:basedOn w:val="DefaultParagraphFont"/>
    <w:uiPriority w:val="32"/>
    <w:qFormat/>
    <w:rsid w:val="00214C4F"/>
    <w:rPr>
      <w:b/>
      <w:bCs/>
      <w:smallCaps/>
      <w:color w:val="27A2CC" w:themeColor="accent2"/>
      <w:spacing w:val="5"/>
      <w:u w:val="single"/>
    </w:rPr>
  </w:style>
  <w:style w:type="paragraph" w:styleId="List">
    <w:name w:val="List"/>
    <w:basedOn w:val="Normal"/>
    <w:uiPriority w:val="99"/>
    <w:semiHidden/>
    <w:unhideWhenUsed/>
    <w:rsid w:val="00214C4F"/>
    <w:pPr>
      <w:ind w:left="283" w:hanging="283"/>
      <w:contextualSpacing/>
    </w:pPr>
    <w:rPr>
      <w:rFonts w:asciiTheme="minorHAnsi" w:hAnsiTheme="minorHAnsi"/>
    </w:rPr>
  </w:style>
  <w:style w:type="paragraph" w:styleId="ListBullet">
    <w:name w:val="List Bullet"/>
    <w:basedOn w:val="BodyText"/>
    <w:rsid w:val="007005A7"/>
    <w:pPr>
      <w:numPr>
        <w:numId w:val="1"/>
      </w:numPr>
      <w:spacing w:after="120"/>
    </w:pPr>
  </w:style>
  <w:style w:type="paragraph" w:styleId="ListBullet2">
    <w:name w:val="List Bullet 2"/>
    <w:basedOn w:val="ListBullet"/>
    <w:rsid w:val="00214C4F"/>
    <w:pPr>
      <w:numPr>
        <w:ilvl w:val="1"/>
      </w:numPr>
    </w:pPr>
  </w:style>
  <w:style w:type="paragraph" w:styleId="ListBullet3">
    <w:name w:val="List Bullet 3"/>
    <w:basedOn w:val="ListBullet2"/>
    <w:rsid w:val="00214C4F"/>
    <w:pPr>
      <w:numPr>
        <w:ilvl w:val="2"/>
      </w:numPr>
    </w:pPr>
  </w:style>
  <w:style w:type="paragraph" w:styleId="ListBullet4">
    <w:name w:val="List Bullet 4"/>
    <w:basedOn w:val="ListBullet3"/>
    <w:rsid w:val="00214C4F"/>
    <w:pPr>
      <w:numPr>
        <w:ilvl w:val="3"/>
      </w:numPr>
    </w:pPr>
  </w:style>
  <w:style w:type="paragraph" w:styleId="ListBullet5">
    <w:name w:val="List Bullet 5"/>
    <w:basedOn w:val="ListBullet4"/>
    <w:rsid w:val="00214C4F"/>
    <w:pPr>
      <w:numPr>
        <w:ilvl w:val="4"/>
      </w:numPr>
      <w:contextualSpacing/>
    </w:pPr>
  </w:style>
  <w:style w:type="paragraph" w:customStyle="1" w:styleId="ListBulletClosed">
    <w:name w:val="List Bullet Closed"/>
    <w:basedOn w:val="ListBullet"/>
    <w:rsid w:val="00214C4F"/>
    <w:pPr>
      <w:numPr>
        <w:numId w:val="0"/>
      </w:numPr>
      <w:contextualSpacing/>
    </w:pPr>
  </w:style>
  <w:style w:type="paragraph" w:styleId="ListContinue">
    <w:name w:val="List Continue"/>
    <w:basedOn w:val="BodyText"/>
    <w:rsid w:val="00214C4F"/>
    <w:pPr>
      <w:ind w:left="567"/>
    </w:pPr>
  </w:style>
  <w:style w:type="paragraph" w:styleId="ListContinue2">
    <w:name w:val="List Continue 2"/>
    <w:basedOn w:val="ListContinue"/>
    <w:rsid w:val="00214C4F"/>
    <w:pPr>
      <w:ind w:left="1134"/>
    </w:pPr>
  </w:style>
  <w:style w:type="paragraph" w:styleId="ListContinue3">
    <w:name w:val="List Continue 3"/>
    <w:basedOn w:val="ListContinue2"/>
    <w:rsid w:val="00214C4F"/>
    <w:pPr>
      <w:ind w:left="1701"/>
    </w:pPr>
  </w:style>
  <w:style w:type="paragraph" w:styleId="ListContinue4">
    <w:name w:val="List Continue 4"/>
    <w:basedOn w:val="ListContinue3"/>
    <w:rsid w:val="00214C4F"/>
    <w:pPr>
      <w:ind w:left="2268"/>
    </w:pPr>
  </w:style>
  <w:style w:type="paragraph" w:styleId="ListContinue5">
    <w:name w:val="List Continue 5"/>
    <w:basedOn w:val="ListContinue4"/>
    <w:rsid w:val="00214C4F"/>
    <w:pPr>
      <w:ind w:left="2835"/>
    </w:pPr>
  </w:style>
  <w:style w:type="paragraph" w:styleId="ListNumber">
    <w:name w:val="List Number"/>
    <w:basedOn w:val="BodyText"/>
    <w:rsid w:val="007005A7"/>
    <w:pPr>
      <w:numPr>
        <w:numId w:val="2"/>
      </w:numPr>
      <w:spacing w:after="120"/>
    </w:pPr>
  </w:style>
  <w:style w:type="paragraph" w:styleId="ListNumber2">
    <w:name w:val="List Number 2"/>
    <w:basedOn w:val="ListNumber"/>
    <w:rsid w:val="007005A7"/>
    <w:pPr>
      <w:numPr>
        <w:ilvl w:val="1"/>
      </w:numPr>
    </w:pPr>
  </w:style>
  <w:style w:type="paragraph" w:styleId="ListNumber3">
    <w:name w:val="List Number 3"/>
    <w:basedOn w:val="ListNumber2"/>
    <w:rsid w:val="00214C4F"/>
    <w:pPr>
      <w:numPr>
        <w:ilvl w:val="2"/>
      </w:numPr>
    </w:pPr>
  </w:style>
  <w:style w:type="paragraph" w:styleId="ListNumber4">
    <w:name w:val="List Number 4"/>
    <w:basedOn w:val="ListNumber3"/>
    <w:rsid w:val="00214C4F"/>
    <w:pPr>
      <w:numPr>
        <w:ilvl w:val="3"/>
      </w:numPr>
      <w:contextualSpacing/>
    </w:pPr>
  </w:style>
  <w:style w:type="paragraph" w:styleId="ListNumber5">
    <w:name w:val="List Number 5"/>
    <w:basedOn w:val="ListNumber4"/>
    <w:rsid w:val="00214C4F"/>
    <w:pPr>
      <w:numPr>
        <w:ilvl w:val="4"/>
      </w:numPr>
    </w:pPr>
  </w:style>
  <w:style w:type="paragraph" w:customStyle="1" w:styleId="ListNumberClosed">
    <w:name w:val="List Number Closed"/>
    <w:basedOn w:val="ListNumber"/>
    <w:rsid w:val="00214C4F"/>
    <w:pPr>
      <w:numPr>
        <w:numId w:val="0"/>
      </w:numPr>
      <w:contextualSpacing/>
    </w:pPr>
  </w:style>
  <w:style w:type="paragraph" w:styleId="ListParagraph">
    <w:name w:val="List Paragraph"/>
    <w:basedOn w:val="Normal"/>
    <w:uiPriority w:val="34"/>
    <w:qFormat/>
    <w:rsid w:val="00214C4F"/>
    <w:pPr>
      <w:ind w:left="567"/>
    </w:pPr>
  </w:style>
  <w:style w:type="numbering" w:customStyle="1" w:styleId="ListNumbers">
    <w:name w:val="ListNumbers"/>
    <w:rsid w:val="00214C4F"/>
    <w:pPr>
      <w:numPr>
        <w:numId w:val="3"/>
      </w:numPr>
    </w:pPr>
  </w:style>
  <w:style w:type="paragraph" w:styleId="NormalIndent">
    <w:name w:val="Normal Indent"/>
    <w:basedOn w:val="Normal"/>
    <w:semiHidden/>
    <w:rsid w:val="00214C4F"/>
    <w:pPr>
      <w:ind w:left="1134"/>
    </w:pPr>
  </w:style>
  <w:style w:type="paragraph" w:customStyle="1" w:styleId="Note">
    <w:name w:val="Note"/>
    <w:basedOn w:val="BodyText"/>
    <w:next w:val="BodyText"/>
    <w:rsid w:val="00214C4F"/>
    <w:pPr>
      <w:numPr>
        <w:numId w:val="4"/>
      </w:numPr>
    </w:pPr>
  </w:style>
  <w:style w:type="paragraph" w:customStyle="1" w:styleId="Note2">
    <w:name w:val="Note 2"/>
    <w:basedOn w:val="Note"/>
    <w:next w:val="BodyText"/>
    <w:rsid w:val="00214C4F"/>
    <w:pPr>
      <w:numPr>
        <w:ilvl w:val="1"/>
      </w:numPr>
    </w:pPr>
  </w:style>
  <w:style w:type="character" w:styleId="PageNumber">
    <w:name w:val="page number"/>
    <w:basedOn w:val="BodyTextChar"/>
    <w:semiHidden/>
    <w:rsid w:val="00214C4F"/>
    <w:rPr>
      <w:rFonts w:ascii="Arial" w:eastAsia="Times New Roman" w:hAnsi="Arial" w:cs="Times New Roman"/>
      <w:color w:val="221F20"/>
      <w:sz w:val="16"/>
      <w:szCs w:val="24"/>
      <w:lang w:val="en-AU" w:eastAsia="en-US" w:bidi="ar-SA"/>
    </w:rPr>
  </w:style>
  <w:style w:type="paragraph" w:customStyle="1" w:styleId="Para2">
    <w:name w:val="Para 2"/>
    <w:basedOn w:val="Normal"/>
    <w:uiPriority w:val="99"/>
    <w:semiHidden/>
    <w:rsid w:val="00214C4F"/>
    <w:pPr>
      <w:keepLines w:val="0"/>
      <w:widowControl/>
      <w:spacing w:line="240" w:lineRule="auto"/>
      <w:ind w:left="1418"/>
    </w:pPr>
    <w:rPr>
      <w:rFonts w:ascii="Times New Roman" w:hAnsi="Times New Roman"/>
      <w:sz w:val="24"/>
    </w:rPr>
  </w:style>
  <w:style w:type="paragraph" w:customStyle="1" w:styleId="Picture">
    <w:name w:val="Picture"/>
    <w:basedOn w:val="BodyText"/>
    <w:next w:val="BodyText"/>
    <w:rsid w:val="00214C4F"/>
    <w:pPr>
      <w:spacing w:line="240" w:lineRule="auto"/>
    </w:pPr>
  </w:style>
  <w:style w:type="paragraph" w:customStyle="1" w:styleId="ProgramTitle">
    <w:name w:val="Program Title"/>
    <w:basedOn w:val="BodyText"/>
    <w:semiHidden/>
    <w:rsid w:val="00214C4F"/>
    <w:pPr>
      <w:spacing w:before="120" w:line="240" w:lineRule="auto"/>
    </w:pPr>
    <w:rPr>
      <w:color w:val="FFFFFF" w:themeColor="background1"/>
    </w:rPr>
  </w:style>
  <w:style w:type="paragraph" w:customStyle="1" w:styleId="BasicParagraph">
    <w:name w:val="[Basic Paragraph]"/>
    <w:basedOn w:val="Normal"/>
    <w:uiPriority w:val="99"/>
    <w:rsid w:val="002E77EA"/>
    <w:pPr>
      <w:keepLines w:val="0"/>
      <w:autoSpaceDE w:val="0"/>
      <w:autoSpaceDN w:val="0"/>
      <w:adjustRightInd w:val="0"/>
      <w:spacing w:after="0" w:line="288" w:lineRule="auto"/>
      <w:textAlignment w:val="center"/>
    </w:pPr>
    <w:rPr>
      <w:rFonts w:ascii="MinionPro-Regular" w:eastAsiaTheme="minorHAnsi" w:hAnsi="MinionPro-Regular" w:cs="MinionPro-Regular"/>
      <w:color w:val="000000"/>
      <w:sz w:val="24"/>
      <w:lang w:val="en-GB"/>
    </w:rPr>
  </w:style>
  <w:style w:type="table" w:customStyle="1" w:styleId="PSATable">
    <w:name w:val="PSA Table"/>
    <w:basedOn w:val="TableNormal"/>
    <w:uiPriority w:val="99"/>
    <w:qFormat/>
    <w:rsid w:val="00214C4F"/>
    <w:pPr>
      <w:spacing w:before="60" w:after="60" w:line="240" w:lineRule="auto"/>
    </w:pPr>
    <w:rPr>
      <w:rFonts w:ascii="Arial" w:eastAsia="MS Mincho" w:hAnsi="Arial" w:cs="Times New Roman"/>
      <w:sz w:val="18"/>
      <w:szCs w:val="20"/>
      <w:lang w:eastAsia="en-AU"/>
    </w:rPr>
    <w:tblPr>
      <w:tblStyleRowBandSize w:val="1"/>
      <w:tblStyleColBandSize w:val="1"/>
      <w:tblBorders>
        <w:top w:val="single" w:sz="8" w:space="0" w:color="auto"/>
        <w:bottom w:val="single" w:sz="8" w:space="0" w:color="auto"/>
        <w:insideH w:val="single" w:sz="8" w:space="0" w:color="auto"/>
      </w:tblBorders>
    </w:tblPr>
    <w:tblStylePr w:type="firstRow">
      <w:pPr>
        <w:wordWrap/>
        <w:spacing w:beforeLines="0" w:beforeAutospacing="0" w:afterLines="0" w:afterAutospacing="0" w:line="240" w:lineRule="auto"/>
        <w:contextualSpacing w:val="0"/>
      </w:pPr>
      <w:rPr>
        <w:rFonts w:ascii="Arial" w:hAnsi="Arial"/>
        <w:b/>
        <w:bCs/>
        <w:color w:val="FFFFFF" w:themeColor="background1"/>
        <w:sz w:val="18"/>
      </w:rPr>
      <w:tblPr/>
      <w:tcPr>
        <w:tcBorders>
          <w:top w:val="single" w:sz="8" w:space="0" w:color="046E9C" w:themeColor="accent1"/>
          <w:left w:val="nil"/>
          <w:bottom w:val="single" w:sz="8" w:space="0" w:color="046E9C" w:themeColor="accent1"/>
          <w:right w:val="nil"/>
          <w:insideH w:val="nil"/>
          <w:insideV w:val="nil"/>
        </w:tcBorders>
        <w:shd w:val="clear" w:color="auto" w:fill="00748D"/>
      </w:tcPr>
    </w:tblStylePr>
    <w:tblStylePr w:type="lastRow">
      <w:pPr>
        <w:wordWrap/>
        <w:spacing w:beforeLines="0" w:beforeAutospacing="0" w:afterLines="0" w:afterAutospacing="0" w:line="360" w:lineRule="auto"/>
      </w:pPr>
      <w:rPr>
        <w:rFonts w:ascii="Arial" w:hAnsi="Arial"/>
        <w:b w:val="0"/>
        <w:bCs/>
        <w:sz w:val="18"/>
      </w:rPr>
      <w:tblPr/>
      <w:tcPr>
        <w:tcBorders>
          <w:top w:val="single" w:sz="8" w:space="0" w:color="auto"/>
          <w:left w:val="nil"/>
          <w:bottom w:val="single" w:sz="8" w:space="0" w:color="auto"/>
          <w:right w:val="nil"/>
          <w:insideH w:val="nil"/>
          <w:insideV w:val="nil"/>
        </w:tcBorders>
      </w:tcPr>
    </w:tblStylePr>
    <w:tblStylePr w:type="firstCol">
      <w:rPr>
        <w:b/>
        <w:bCs/>
      </w:rPr>
    </w:tblStylePr>
    <w:tblStylePr w:type="lastCol">
      <w:rPr>
        <w:b w:val="0"/>
        <w:bCs/>
      </w:rPr>
    </w:tblStylePr>
    <w:tblStylePr w:type="band1Vert">
      <w:tblPr/>
      <w:tcPr>
        <w:tcBorders>
          <w:left w:val="nil"/>
          <w:right w:val="nil"/>
          <w:insideH w:val="nil"/>
          <w:insideV w:val="nil"/>
        </w:tcBorders>
        <w:shd w:val="clear" w:color="auto" w:fill="AAE3FC" w:themeFill="accent1" w:themeFillTint="3F"/>
      </w:tcPr>
    </w:tblStylePr>
    <w:tblStylePr w:type="band1Horz">
      <w:pPr>
        <w:wordWrap/>
        <w:spacing w:beforeLines="0" w:beforeAutospacing="0" w:afterLines="0" w:afterAutospacing="0" w:line="240" w:lineRule="auto"/>
      </w:pPr>
      <w:rPr>
        <w:rFonts w:ascii="Arial" w:hAnsi="Arial"/>
        <w:sz w:val="18"/>
      </w:rPr>
      <w:tblPr/>
      <w:tcPr>
        <w:tcBorders>
          <w:left w:val="nil"/>
          <w:right w:val="nil"/>
          <w:insideH w:val="nil"/>
          <w:insideV w:val="nil"/>
        </w:tcBorders>
        <w:shd w:val="clear" w:color="auto" w:fill="AAE3FC" w:themeFill="accent1" w:themeFillTint="3F"/>
      </w:tcPr>
    </w:tblStylePr>
    <w:tblStylePr w:type="band2Horz">
      <w:rPr>
        <w:rFonts w:ascii="Arial" w:hAnsi="Arial"/>
        <w:sz w:val="18"/>
      </w:rPr>
    </w:tblStylePr>
  </w:style>
  <w:style w:type="paragraph" w:customStyle="1" w:styleId="Recommendation">
    <w:name w:val="Recommendation"/>
    <w:basedOn w:val="BodyText"/>
    <w:rsid w:val="00214C4F"/>
    <w:pPr>
      <w:pBdr>
        <w:top w:val="single" w:sz="48" w:space="1" w:color="565656" w:themeColor="background2" w:themeShade="E6"/>
        <w:left w:val="single" w:sz="24" w:space="4" w:color="565656" w:themeColor="background2" w:themeShade="E6"/>
        <w:bottom w:val="single" w:sz="48" w:space="1" w:color="565656" w:themeColor="background2" w:themeShade="E6"/>
        <w:right w:val="single" w:sz="24" w:space="4" w:color="565656" w:themeColor="background2" w:themeShade="E6"/>
      </w:pBdr>
      <w:shd w:val="clear" w:color="auto" w:fill="565656" w:themeFill="background2" w:themeFillShade="E6"/>
    </w:pPr>
    <w:rPr>
      <w:i/>
    </w:rPr>
  </w:style>
  <w:style w:type="paragraph" w:customStyle="1" w:styleId="Reference">
    <w:name w:val="Reference"/>
    <w:basedOn w:val="Caption"/>
    <w:rsid w:val="00214C4F"/>
    <w:rPr>
      <w:i/>
      <w:color w:val="A6A6A6" w:themeColor="background1" w:themeShade="A6"/>
    </w:rPr>
  </w:style>
  <w:style w:type="character" w:styleId="Strong">
    <w:name w:val="Strong"/>
    <w:basedOn w:val="BodyTextChar"/>
    <w:uiPriority w:val="22"/>
    <w:qFormat/>
    <w:rsid w:val="00214C4F"/>
    <w:rPr>
      <w:rFonts w:ascii="Arial" w:eastAsia="Times New Roman" w:hAnsi="Arial" w:cs="Times New Roman"/>
      <w:b/>
      <w:bCs/>
      <w:color w:val="221F20"/>
      <w:sz w:val="21"/>
      <w:szCs w:val="21"/>
      <w:lang w:val="en-AU" w:eastAsia="en-US" w:bidi="ar-SA"/>
    </w:rPr>
  </w:style>
  <w:style w:type="paragraph" w:styleId="Subtitle">
    <w:name w:val="Subtitle"/>
    <w:basedOn w:val="Normal"/>
    <w:next w:val="Normal"/>
    <w:link w:val="SubtitleChar"/>
    <w:uiPriority w:val="11"/>
    <w:qFormat/>
    <w:rsid w:val="00214C4F"/>
    <w:pPr>
      <w:numPr>
        <w:ilvl w:val="1"/>
      </w:numPr>
    </w:pPr>
    <w:rPr>
      <w:rFonts w:eastAsiaTheme="majorEastAsia" w:cstheme="majorBidi"/>
      <w:i/>
      <w:iCs/>
      <w:color w:val="auto"/>
      <w:spacing w:val="15"/>
      <w:sz w:val="24"/>
    </w:rPr>
  </w:style>
  <w:style w:type="character" w:customStyle="1" w:styleId="SubtitleChar">
    <w:name w:val="Subtitle Char"/>
    <w:basedOn w:val="DefaultParagraphFont"/>
    <w:link w:val="Subtitle"/>
    <w:uiPriority w:val="11"/>
    <w:rsid w:val="00214C4F"/>
    <w:rPr>
      <w:rFonts w:ascii="Arial" w:eastAsiaTheme="majorEastAsia" w:hAnsi="Arial" w:cstheme="majorBidi"/>
      <w:i/>
      <w:iCs/>
      <w:spacing w:val="15"/>
      <w:sz w:val="24"/>
      <w:szCs w:val="24"/>
    </w:rPr>
  </w:style>
  <w:style w:type="paragraph" w:customStyle="1" w:styleId="TableBodyText">
    <w:name w:val="Table Body Text"/>
    <w:basedOn w:val="BodyText"/>
    <w:rsid w:val="00214C4F"/>
    <w:pPr>
      <w:spacing w:before="60" w:after="60"/>
    </w:pPr>
    <w:rPr>
      <w:rFonts w:cs="Arial"/>
      <w:sz w:val="18"/>
      <w:szCs w:val="20"/>
      <w:lang w:eastAsia="en-AU"/>
    </w:rPr>
  </w:style>
  <w:style w:type="table" w:styleId="TableGrid">
    <w:name w:val="Table Grid"/>
    <w:basedOn w:val="TableNormal"/>
    <w:uiPriority w:val="39"/>
    <w:rsid w:val="00214C4F"/>
    <w:pPr>
      <w:spacing w:before="60" w:after="60"/>
    </w:pPr>
    <w:rPr>
      <w:rFonts w:ascii="Verdana" w:eastAsia="Times New Roman" w:hAnsi="Verdana" w:cs="Times New Roman"/>
      <w:color w:val="221F20"/>
      <w:sz w:val="16"/>
      <w:szCs w:val="21"/>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
    <w:name w:val="Table Heading"/>
    <w:basedOn w:val="TableBodyText"/>
    <w:rsid w:val="00214C4F"/>
    <w:rPr>
      <w:b/>
      <w:color w:val="FFFFFF" w:themeColor="background1"/>
    </w:rPr>
  </w:style>
  <w:style w:type="paragraph" w:customStyle="1" w:styleId="TableHeading2">
    <w:name w:val="Table Heading 2"/>
    <w:basedOn w:val="TableHeading"/>
    <w:rsid w:val="00214C4F"/>
    <w:rPr>
      <w:color w:val="auto"/>
    </w:rPr>
  </w:style>
  <w:style w:type="paragraph" w:customStyle="1" w:styleId="TableListBullet">
    <w:name w:val="Table List Bullet"/>
    <w:basedOn w:val="TableBodyText"/>
    <w:rsid w:val="00214C4F"/>
    <w:pPr>
      <w:numPr>
        <w:numId w:val="5"/>
      </w:numPr>
    </w:pPr>
  </w:style>
  <w:style w:type="paragraph" w:customStyle="1" w:styleId="TableListBullet2">
    <w:name w:val="Table List Bullet 2"/>
    <w:basedOn w:val="TableListBullet"/>
    <w:rsid w:val="00214C4F"/>
    <w:pPr>
      <w:numPr>
        <w:numId w:val="6"/>
      </w:numPr>
    </w:pPr>
  </w:style>
  <w:style w:type="paragraph" w:customStyle="1" w:styleId="TableListBullet3">
    <w:name w:val="Table List Bullet 3"/>
    <w:basedOn w:val="TableListBullet2"/>
    <w:rsid w:val="00214C4F"/>
    <w:pPr>
      <w:numPr>
        <w:numId w:val="7"/>
      </w:numPr>
    </w:pPr>
    <w:rPr>
      <w:lang w:val="en-US"/>
    </w:rPr>
  </w:style>
  <w:style w:type="paragraph" w:customStyle="1" w:styleId="TableListContinue">
    <w:name w:val="Table List Continue"/>
    <w:basedOn w:val="TableBodyText"/>
    <w:rsid w:val="00214C4F"/>
    <w:pPr>
      <w:ind w:left="340"/>
    </w:pPr>
  </w:style>
  <w:style w:type="paragraph" w:customStyle="1" w:styleId="TableListContinue2">
    <w:name w:val="Table List Continue 2"/>
    <w:basedOn w:val="TableListContinue"/>
    <w:rsid w:val="00214C4F"/>
    <w:pPr>
      <w:spacing w:line="240" w:lineRule="auto"/>
      <w:ind w:left="680"/>
    </w:pPr>
  </w:style>
  <w:style w:type="paragraph" w:customStyle="1" w:styleId="TableListContinue3">
    <w:name w:val="Table List Continue 3"/>
    <w:basedOn w:val="TableListContinue2"/>
    <w:rsid w:val="00214C4F"/>
    <w:pPr>
      <w:ind w:left="1021"/>
    </w:pPr>
  </w:style>
  <w:style w:type="paragraph" w:customStyle="1" w:styleId="TableListNumber">
    <w:name w:val="Table List Number"/>
    <w:basedOn w:val="TableBodyText"/>
    <w:rsid w:val="00214C4F"/>
    <w:pPr>
      <w:numPr>
        <w:numId w:val="8"/>
      </w:numPr>
    </w:pPr>
  </w:style>
  <w:style w:type="paragraph" w:customStyle="1" w:styleId="TableListNumber2">
    <w:name w:val="Table List Number 2"/>
    <w:basedOn w:val="TableListNumber"/>
    <w:rsid w:val="00214C4F"/>
    <w:pPr>
      <w:numPr>
        <w:ilvl w:val="1"/>
      </w:numPr>
    </w:pPr>
  </w:style>
  <w:style w:type="paragraph" w:customStyle="1" w:styleId="TableListNumber3">
    <w:name w:val="Table List Number 3"/>
    <w:basedOn w:val="TableListNumber2"/>
    <w:rsid w:val="00214C4F"/>
    <w:pPr>
      <w:numPr>
        <w:ilvl w:val="2"/>
      </w:numPr>
    </w:pPr>
  </w:style>
  <w:style w:type="paragraph" w:styleId="TableofFigures">
    <w:name w:val="table of figures"/>
    <w:basedOn w:val="BodyText"/>
    <w:next w:val="BodyText"/>
    <w:uiPriority w:val="99"/>
    <w:rsid w:val="00214C4F"/>
  </w:style>
  <w:style w:type="paragraph" w:customStyle="1" w:styleId="TemplateInstruction">
    <w:name w:val="Template Instruction"/>
    <w:basedOn w:val="BodyText"/>
    <w:semiHidden/>
    <w:rsid w:val="00214C4F"/>
    <w:pPr>
      <w:spacing w:after="120" w:line="240" w:lineRule="atLeast"/>
      <w:ind w:left="709"/>
    </w:pPr>
    <w:rPr>
      <w:rFonts w:ascii="Times New Roman" w:hAnsi="Times New Roman"/>
      <w:i/>
      <w:color w:val="0000FF"/>
    </w:rPr>
  </w:style>
  <w:style w:type="paragraph" w:styleId="Title">
    <w:name w:val="Title"/>
    <w:basedOn w:val="Normal"/>
    <w:next w:val="Normal"/>
    <w:link w:val="TitleChar"/>
    <w:uiPriority w:val="10"/>
    <w:qFormat/>
    <w:rsid w:val="00214C4F"/>
    <w:pPr>
      <w:shd w:val="clear" w:color="FFFFFF" w:fill="auto"/>
      <w:spacing w:before="240" w:after="60"/>
      <w:jc w:val="center"/>
    </w:pPr>
    <w:rPr>
      <w:rFonts w:ascii="Verdana" w:hAnsi="Verdana"/>
      <w:i/>
      <w:sz w:val="32"/>
      <w:lang w:eastAsia="en-AU"/>
    </w:rPr>
  </w:style>
  <w:style w:type="character" w:customStyle="1" w:styleId="TitleChar">
    <w:name w:val="Title Char"/>
    <w:basedOn w:val="DefaultParagraphFont"/>
    <w:link w:val="Title"/>
    <w:uiPriority w:val="10"/>
    <w:rsid w:val="00214C4F"/>
    <w:rPr>
      <w:rFonts w:ascii="Verdana" w:eastAsia="Times New Roman" w:hAnsi="Verdana" w:cs="Times New Roman"/>
      <w:i/>
      <w:color w:val="221F20"/>
      <w:sz w:val="32"/>
      <w:szCs w:val="24"/>
      <w:shd w:val="clear" w:color="FFFFFF" w:fill="auto"/>
      <w:lang w:eastAsia="en-AU"/>
    </w:rPr>
  </w:style>
  <w:style w:type="paragraph" w:styleId="TOC1">
    <w:name w:val="toc 1"/>
    <w:basedOn w:val="BodyText"/>
    <w:next w:val="BodyText"/>
    <w:uiPriority w:val="39"/>
    <w:unhideWhenUsed/>
    <w:rsid w:val="00F77CF6"/>
    <w:pPr>
      <w:tabs>
        <w:tab w:val="left" w:leader="dot" w:pos="567"/>
        <w:tab w:val="right" w:leader="dot" w:pos="9072"/>
      </w:tabs>
      <w:spacing w:before="120" w:after="120" w:line="240" w:lineRule="auto"/>
    </w:pPr>
    <w:rPr>
      <w:b/>
    </w:rPr>
  </w:style>
  <w:style w:type="paragraph" w:styleId="TOC2">
    <w:name w:val="toc 2"/>
    <w:basedOn w:val="TOC1"/>
    <w:next w:val="BodyText"/>
    <w:uiPriority w:val="39"/>
    <w:unhideWhenUsed/>
    <w:rsid w:val="00214C4F"/>
    <w:pPr>
      <w:spacing w:before="0"/>
      <w:ind w:left="567" w:hanging="567"/>
    </w:pPr>
    <w:rPr>
      <w:b w:val="0"/>
    </w:rPr>
  </w:style>
  <w:style w:type="paragraph" w:styleId="TOC3">
    <w:name w:val="toc 3"/>
    <w:basedOn w:val="TOC2"/>
    <w:next w:val="BodyText"/>
    <w:uiPriority w:val="39"/>
    <w:unhideWhenUsed/>
    <w:rsid w:val="00214C4F"/>
    <w:pPr>
      <w:ind w:left="1134"/>
    </w:pPr>
  </w:style>
  <w:style w:type="paragraph" w:styleId="TOC4">
    <w:name w:val="toc 4"/>
    <w:basedOn w:val="Normal"/>
    <w:next w:val="Normal"/>
    <w:uiPriority w:val="39"/>
    <w:unhideWhenUsed/>
    <w:rsid w:val="00214C4F"/>
    <w:pPr>
      <w:spacing w:after="0" w:line="240" w:lineRule="auto"/>
      <w:ind w:left="851"/>
    </w:pPr>
    <w:rPr>
      <w:sz w:val="18"/>
    </w:rPr>
  </w:style>
  <w:style w:type="paragraph" w:styleId="TOC5">
    <w:name w:val="toc 5"/>
    <w:basedOn w:val="Normal"/>
    <w:next w:val="Normal"/>
    <w:uiPriority w:val="39"/>
    <w:semiHidden/>
    <w:unhideWhenUsed/>
    <w:rsid w:val="00214C4F"/>
    <w:pPr>
      <w:spacing w:after="100"/>
      <w:ind w:left="880"/>
    </w:pPr>
  </w:style>
  <w:style w:type="paragraph" w:styleId="TOC6">
    <w:name w:val="toc 6"/>
    <w:basedOn w:val="Normal"/>
    <w:next w:val="Normal"/>
    <w:uiPriority w:val="39"/>
    <w:semiHidden/>
    <w:unhideWhenUsed/>
    <w:rsid w:val="00214C4F"/>
    <w:pPr>
      <w:spacing w:after="100"/>
      <w:ind w:left="1100"/>
    </w:pPr>
  </w:style>
  <w:style w:type="paragraph" w:styleId="TOC7">
    <w:name w:val="toc 7"/>
    <w:basedOn w:val="Normal"/>
    <w:next w:val="Normal"/>
    <w:uiPriority w:val="39"/>
    <w:semiHidden/>
    <w:unhideWhenUsed/>
    <w:rsid w:val="00214C4F"/>
    <w:pPr>
      <w:spacing w:after="100"/>
      <w:ind w:left="1320"/>
    </w:pPr>
  </w:style>
  <w:style w:type="paragraph" w:styleId="TOC8">
    <w:name w:val="toc 8"/>
    <w:basedOn w:val="Normal"/>
    <w:next w:val="Normal"/>
    <w:uiPriority w:val="39"/>
    <w:semiHidden/>
    <w:unhideWhenUsed/>
    <w:rsid w:val="00214C4F"/>
    <w:pPr>
      <w:spacing w:after="100"/>
      <w:ind w:left="1540"/>
    </w:pPr>
  </w:style>
  <w:style w:type="paragraph" w:styleId="TOC9">
    <w:name w:val="toc 9"/>
    <w:basedOn w:val="Normal"/>
    <w:next w:val="Normal"/>
    <w:uiPriority w:val="39"/>
    <w:semiHidden/>
    <w:unhideWhenUsed/>
    <w:rsid w:val="00214C4F"/>
    <w:pPr>
      <w:spacing w:after="100"/>
      <w:ind w:left="1760"/>
    </w:pPr>
  </w:style>
  <w:style w:type="paragraph" w:styleId="TOCHeading">
    <w:name w:val="TOC Heading"/>
    <w:basedOn w:val="Heading1"/>
    <w:next w:val="BodyText"/>
    <w:uiPriority w:val="39"/>
    <w:qFormat/>
    <w:rsid w:val="00214C4F"/>
  </w:style>
  <w:style w:type="paragraph" w:customStyle="1" w:styleId="Version">
    <w:name w:val="Version"/>
    <w:basedOn w:val="BodyText"/>
    <w:rsid w:val="00214C4F"/>
    <w:pPr>
      <w:spacing w:after="0" w:line="240" w:lineRule="auto"/>
      <w:jc w:val="center"/>
    </w:pPr>
    <w:rPr>
      <w:b/>
      <w:color w:val="FFFFFF" w:themeColor="background1"/>
      <w:spacing w:val="9"/>
      <w:position w:val="2"/>
    </w:rPr>
  </w:style>
  <w:style w:type="paragraph" w:customStyle="1" w:styleId="WorkflowText">
    <w:name w:val="Workflow Text"/>
    <w:basedOn w:val="TableBodyText"/>
    <w:semiHidden/>
    <w:rsid w:val="00214C4F"/>
  </w:style>
  <w:style w:type="paragraph" w:styleId="BalloonText">
    <w:name w:val="Balloon Text"/>
    <w:basedOn w:val="Normal"/>
    <w:link w:val="BalloonTextChar"/>
    <w:uiPriority w:val="99"/>
    <w:semiHidden/>
    <w:unhideWhenUsed/>
    <w:rsid w:val="00214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C4F"/>
    <w:rPr>
      <w:rFonts w:ascii="Tahoma" w:eastAsia="Times New Roman" w:hAnsi="Tahoma" w:cs="Tahoma"/>
      <w:color w:val="221F20"/>
      <w:sz w:val="16"/>
      <w:szCs w:val="16"/>
    </w:rPr>
  </w:style>
  <w:style w:type="character" w:styleId="CommentReference">
    <w:name w:val="annotation reference"/>
    <w:basedOn w:val="DefaultParagraphFont"/>
    <w:uiPriority w:val="99"/>
    <w:semiHidden/>
    <w:unhideWhenUsed/>
    <w:rsid w:val="00FC2F0B"/>
    <w:rPr>
      <w:sz w:val="16"/>
      <w:szCs w:val="16"/>
    </w:rPr>
  </w:style>
  <w:style w:type="table" w:customStyle="1" w:styleId="TableGrid1">
    <w:name w:val="Table Grid1"/>
    <w:basedOn w:val="TableNormal"/>
    <w:next w:val="TableGrid"/>
    <w:uiPriority w:val="39"/>
    <w:rsid w:val="006702C1"/>
    <w:pPr>
      <w:spacing w:before="60" w:after="60"/>
    </w:pPr>
    <w:rPr>
      <w:rFonts w:ascii="Verdana" w:eastAsia="Times New Roman" w:hAnsi="Verdana" w:cs="Times New Roman"/>
      <w:color w:val="221F20"/>
      <w:sz w:val="16"/>
      <w:szCs w:val="21"/>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461FC"/>
    <w:pPr>
      <w:spacing w:before="60" w:after="60"/>
    </w:pPr>
    <w:rPr>
      <w:rFonts w:ascii="Verdana" w:eastAsia="Times New Roman" w:hAnsi="Verdana" w:cs="Times New Roman"/>
      <w:color w:val="221F20"/>
      <w:sz w:val="16"/>
      <w:szCs w:val="21"/>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995106"/>
    <w:pPr>
      <w:spacing w:before="60" w:after="60"/>
    </w:pPr>
    <w:rPr>
      <w:rFonts w:ascii="Verdana" w:eastAsia="Times New Roman" w:hAnsi="Verdana" w:cs="Times New Roman"/>
      <w:color w:val="221F20"/>
      <w:sz w:val="16"/>
      <w:szCs w:val="21"/>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6D0327"/>
    <w:pPr>
      <w:spacing w:before="60" w:after="60"/>
    </w:pPr>
    <w:rPr>
      <w:rFonts w:ascii="Verdana" w:eastAsia="Times New Roman" w:hAnsi="Verdana" w:cs="Times New Roman"/>
      <w:color w:val="221F20"/>
      <w:sz w:val="16"/>
      <w:szCs w:val="21"/>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39"/>
    <w:rsid w:val="00145760"/>
    <w:pPr>
      <w:spacing w:before="60" w:after="60"/>
    </w:pPr>
    <w:rPr>
      <w:rFonts w:ascii="Verdana" w:eastAsia="Times New Roman" w:hAnsi="Verdana" w:cs="Times New Roman"/>
      <w:color w:val="221F20"/>
      <w:sz w:val="16"/>
      <w:szCs w:val="21"/>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1A0C17"/>
    <w:pPr>
      <w:spacing w:after="0" w:line="240" w:lineRule="auto"/>
    </w:pPr>
    <w:rPr>
      <w:rFonts w:ascii="Arial" w:eastAsia="Times New Roman" w:hAnsi="Arial" w:cs="Times New Roman"/>
      <w:color w:val="221F20"/>
      <w:sz w:val="21"/>
      <w:szCs w:val="24"/>
    </w:rPr>
  </w:style>
  <w:style w:type="paragraph" w:styleId="CommentSubject">
    <w:name w:val="annotation subject"/>
    <w:basedOn w:val="CommentText"/>
    <w:next w:val="CommentText"/>
    <w:link w:val="CommentSubjectChar"/>
    <w:uiPriority w:val="99"/>
    <w:semiHidden/>
    <w:unhideWhenUsed/>
    <w:rsid w:val="007A4CD2"/>
    <w:pPr>
      <w:keepLines/>
      <w:widowControl w:val="0"/>
      <w:spacing w:line="240" w:lineRule="auto"/>
    </w:pPr>
    <w:rPr>
      <w:b/>
      <w:bCs/>
      <w:sz w:val="20"/>
      <w:szCs w:val="20"/>
    </w:rPr>
  </w:style>
  <w:style w:type="character" w:customStyle="1" w:styleId="CommentSubjectChar">
    <w:name w:val="Comment Subject Char"/>
    <w:basedOn w:val="CommentTextChar"/>
    <w:link w:val="CommentSubject"/>
    <w:uiPriority w:val="99"/>
    <w:semiHidden/>
    <w:rsid w:val="007A4CD2"/>
    <w:rPr>
      <w:rFonts w:ascii="Arial" w:eastAsia="Times New Roman" w:hAnsi="Arial" w:cs="Times New Roman"/>
      <w:b/>
      <w:bCs/>
      <w:color w:val="22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89290">
      <w:bodyDiv w:val="1"/>
      <w:marLeft w:val="0"/>
      <w:marRight w:val="0"/>
      <w:marTop w:val="0"/>
      <w:marBottom w:val="0"/>
      <w:divBdr>
        <w:top w:val="none" w:sz="0" w:space="0" w:color="auto"/>
        <w:left w:val="none" w:sz="0" w:space="0" w:color="auto"/>
        <w:bottom w:val="none" w:sz="0" w:space="0" w:color="auto"/>
        <w:right w:val="none" w:sz="0" w:space="0" w:color="auto"/>
      </w:divBdr>
      <w:divsChild>
        <w:div w:id="369426925">
          <w:marLeft w:val="547"/>
          <w:marRight w:val="0"/>
          <w:marTop w:val="120"/>
          <w:marBottom w:val="120"/>
          <w:divBdr>
            <w:top w:val="none" w:sz="0" w:space="0" w:color="auto"/>
            <w:left w:val="none" w:sz="0" w:space="0" w:color="auto"/>
            <w:bottom w:val="none" w:sz="0" w:space="0" w:color="auto"/>
            <w:right w:val="none" w:sz="0" w:space="0" w:color="auto"/>
          </w:divBdr>
        </w:div>
        <w:div w:id="679890803">
          <w:marLeft w:val="547"/>
          <w:marRight w:val="0"/>
          <w:marTop w:val="120"/>
          <w:marBottom w:val="120"/>
          <w:divBdr>
            <w:top w:val="none" w:sz="0" w:space="0" w:color="auto"/>
            <w:left w:val="none" w:sz="0" w:space="0" w:color="auto"/>
            <w:bottom w:val="none" w:sz="0" w:space="0" w:color="auto"/>
            <w:right w:val="none" w:sz="0" w:space="0" w:color="auto"/>
          </w:divBdr>
        </w:div>
      </w:divsChild>
    </w:div>
    <w:div w:id="346488980">
      <w:bodyDiv w:val="1"/>
      <w:marLeft w:val="0"/>
      <w:marRight w:val="0"/>
      <w:marTop w:val="0"/>
      <w:marBottom w:val="0"/>
      <w:divBdr>
        <w:top w:val="none" w:sz="0" w:space="0" w:color="auto"/>
        <w:left w:val="none" w:sz="0" w:space="0" w:color="auto"/>
        <w:bottom w:val="none" w:sz="0" w:space="0" w:color="auto"/>
        <w:right w:val="none" w:sz="0" w:space="0" w:color="auto"/>
      </w:divBdr>
      <w:divsChild>
        <w:div w:id="1601451187">
          <w:marLeft w:val="547"/>
          <w:marRight w:val="0"/>
          <w:marTop w:val="120"/>
          <w:marBottom w:val="120"/>
          <w:divBdr>
            <w:top w:val="none" w:sz="0" w:space="0" w:color="auto"/>
            <w:left w:val="none" w:sz="0" w:space="0" w:color="auto"/>
            <w:bottom w:val="none" w:sz="0" w:space="0" w:color="auto"/>
            <w:right w:val="none" w:sz="0" w:space="0" w:color="auto"/>
          </w:divBdr>
        </w:div>
        <w:div w:id="1743408748">
          <w:marLeft w:val="547"/>
          <w:marRight w:val="0"/>
          <w:marTop w:val="120"/>
          <w:marBottom w:val="120"/>
          <w:divBdr>
            <w:top w:val="none" w:sz="0" w:space="0" w:color="auto"/>
            <w:left w:val="none" w:sz="0" w:space="0" w:color="auto"/>
            <w:bottom w:val="none" w:sz="0" w:space="0" w:color="auto"/>
            <w:right w:val="none" w:sz="0" w:space="0" w:color="auto"/>
          </w:divBdr>
        </w:div>
        <w:div w:id="212616764">
          <w:marLeft w:val="547"/>
          <w:marRight w:val="0"/>
          <w:marTop w:val="120"/>
          <w:marBottom w:val="120"/>
          <w:divBdr>
            <w:top w:val="none" w:sz="0" w:space="0" w:color="auto"/>
            <w:left w:val="none" w:sz="0" w:space="0" w:color="auto"/>
            <w:bottom w:val="none" w:sz="0" w:space="0" w:color="auto"/>
            <w:right w:val="none" w:sz="0" w:space="0" w:color="auto"/>
          </w:divBdr>
        </w:div>
      </w:divsChild>
    </w:div>
    <w:div w:id="561671313">
      <w:bodyDiv w:val="1"/>
      <w:marLeft w:val="0"/>
      <w:marRight w:val="0"/>
      <w:marTop w:val="0"/>
      <w:marBottom w:val="0"/>
      <w:divBdr>
        <w:top w:val="none" w:sz="0" w:space="0" w:color="auto"/>
        <w:left w:val="none" w:sz="0" w:space="0" w:color="auto"/>
        <w:bottom w:val="none" w:sz="0" w:space="0" w:color="auto"/>
        <w:right w:val="none" w:sz="0" w:space="0" w:color="auto"/>
      </w:divBdr>
    </w:div>
    <w:div w:id="626005970">
      <w:bodyDiv w:val="1"/>
      <w:marLeft w:val="0"/>
      <w:marRight w:val="0"/>
      <w:marTop w:val="0"/>
      <w:marBottom w:val="0"/>
      <w:divBdr>
        <w:top w:val="none" w:sz="0" w:space="0" w:color="auto"/>
        <w:left w:val="none" w:sz="0" w:space="0" w:color="auto"/>
        <w:bottom w:val="none" w:sz="0" w:space="0" w:color="auto"/>
        <w:right w:val="none" w:sz="0" w:space="0" w:color="auto"/>
      </w:divBdr>
    </w:div>
    <w:div w:id="759718626">
      <w:bodyDiv w:val="1"/>
      <w:marLeft w:val="0"/>
      <w:marRight w:val="0"/>
      <w:marTop w:val="0"/>
      <w:marBottom w:val="0"/>
      <w:divBdr>
        <w:top w:val="none" w:sz="0" w:space="0" w:color="auto"/>
        <w:left w:val="none" w:sz="0" w:space="0" w:color="auto"/>
        <w:bottom w:val="none" w:sz="0" w:space="0" w:color="auto"/>
        <w:right w:val="none" w:sz="0" w:space="0" w:color="auto"/>
      </w:divBdr>
      <w:divsChild>
        <w:div w:id="1675231490">
          <w:marLeft w:val="547"/>
          <w:marRight w:val="0"/>
          <w:marTop w:val="80"/>
          <w:marBottom w:val="80"/>
          <w:divBdr>
            <w:top w:val="none" w:sz="0" w:space="0" w:color="auto"/>
            <w:left w:val="none" w:sz="0" w:space="0" w:color="auto"/>
            <w:bottom w:val="none" w:sz="0" w:space="0" w:color="auto"/>
            <w:right w:val="none" w:sz="0" w:space="0" w:color="auto"/>
          </w:divBdr>
        </w:div>
        <w:div w:id="1361928899">
          <w:marLeft w:val="547"/>
          <w:marRight w:val="0"/>
          <w:marTop w:val="80"/>
          <w:marBottom w:val="80"/>
          <w:divBdr>
            <w:top w:val="none" w:sz="0" w:space="0" w:color="auto"/>
            <w:left w:val="none" w:sz="0" w:space="0" w:color="auto"/>
            <w:bottom w:val="none" w:sz="0" w:space="0" w:color="auto"/>
            <w:right w:val="none" w:sz="0" w:space="0" w:color="auto"/>
          </w:divBdr>
        </w:div>
        <w:div w:id="702485708">
          <w:marLeft w:val="547"/>
          <w:marRight w:val="0"/>
          <w:marTop w:val="80"/>
          <w:marBottom w:val="80"/>
          <w:divBdr>
            <w:top w:val="none" w:sz="0" w:space="0" w:color="auto"/>
            <w:left w:val="none" w:sz="0" w:space="0" w:color="auto"/>
            <w:bottom w:val="none" w:sz="0" w:space="0" w:color="auto"/>
            <w:right w:val="none" w:sz="0" w:space="0" w:color="auto"/>
          </w:divBdr>
        </w:div>
        <w:div w:id="1446270030">
          <w:marLeft w:val="547"/>
          <w:marRight w:val="0"/>
          <w:marTop w:val="80"/>
          <w:marBottom w:val="80"/>
          <w:divBdr>
            <w:top w:val="none" w:sz="0" w:space="0" w:color="auto"/>
            <w:left w:val="none" w:sz="0" w:space="0" w:color="auto"/>
            <w:bottom w:val="none" w:sz="0" w:space="0" w:color="auto"/>
            <w:right w:val="none" w:sz="0" w:space="0" w:color="auto"/>
          </w:divBdr>
        </w:div>
        <w:div w:id="8676770">
          <w:marLeft w:val="547"/>
          <w:marRight w:val="0"/>
          <w:marTop w:val="80"/>
          <w:marBottom w:val="80"/>
          <w:divBdr>
            <w:top w:val="none" w:sz="0" w:space="0" w:color="auto"/>
            <w:left w:val="none" w:sz="0" w:space="0" w:color="auto"/>
            <w:bottom w:val="none" w:sz="0" w:space="0" w:color="auto"/>
            <w:right w:val="none" w:sz="0" w:space="0" w:color="auto"/>
          </w:divBdr>
        </w:div>
      </w:divsChild>
    </w:div>
    <w:div w:id="928660731">
      <w:bodyDiv w:val="1"/>
      <w:marLeft w:val="0"/>
      <w:marRight w:val="0"/>
      <w:marTop w:val="0"/>
      <w:marBottom w:val="0"/>
      <w:divBdr>
        <w:top w:val="none" w:sz="0" w:space="0" w:color="auto"/>
        <w:left w:val="none" w:sz="0" w:space="0" w:color="auto"/>
        <w:bottom w:val="none" w:sz="0" w:space="0" w:color="auto"/>
        <w:right w:val="none" w:sz="0" w:space="0" w:color="auto"/>
      </w:divBdr>
    </w:div>
    <w:div w:id="1065568186">
      <w:bodyDiv w:val="1"/>
      <w:marLeft w:val="0"/>
      <w:marRight w:val="0"/>
      <w:marTop w:val="0"/>
      <w:marBottom w:val="0"/>
      <w:divBdr>
        <w:top w:val="none" w:sz="0" w:space="0" w:color="auto"/>
        <w:left w:val="none" w:sz="0" w:space="0" w:color="auto"/>
        <w:bottom w:val="none" w:sz="0" w:space="0" w:color="auto"/>
        <w:right w:val="none" w:sz="0" w:space="0" w:color="auto"/>
      </w:divBdr>
    </w:div>
    <w:div w:id="1140540721">
      <w:bodyDiv w:val="1"/>
      <w:marLeft w:val="0"/>
      <w:marRight w:val="0"/>
      <w:marTop w:val="0"/>
      <w:marBottom w:val="0"/>
      <w:divBdr>
        <w:top w:val="none" w:sz="0" w:space="0" w:color="auto"/>
        <w:left w:val="none" w:sz="0" w:space="0" w:color="auto"/>
        <w:bottom w:val="none" w:sz="0" w:space="0" w:color="auto"/>
        <w:right w:val="none" w:sz="0" w:space="0" w:color="auto"/>
      </w:divBdr>
    </w:div>
    <w:div w:id="1162626761">
      <w:bodyDiv w:val="1"/>
      <w:marLeft w:val="0"/>
      <w:marRight w:val="0"/>
      <w:marTop w:val="0"/>
      <w:marBottom w:val="0"/>
      <w:divBdr>
        <w:top w:val="none" w:sz="0" w:space="0" w:color="auto"/>
        <w:left w:val="none" w:sz="0" w:space="0" w:color="auto"/>
        <w:bottom w:val="none" w:sz="0" w:space="0" w:color="auto"/>
        <w:right w:val="none" w:sz="0" w:space="0" w:color="auto"/>
      </w:divBdr>
      <w:divsChild>
        <w:div w:id="714355798">
          <w:marLeft w:val="547"/>
          <w:marRight w:val="0"/>
          <w:marTop w:val="120"/>
          <w:marBottom w:val="120"/>
          <w:divBdr>
            <w:top w:val="none" w:sz="0" w:space="0" w:color="auto"/>
            <w:left w:val="none" w:sz="0" w:space="0" w:color="auto"/>
            <w:bottom w:val="none" w:sz="0" w:space="0" w:color="auto"/>
            <w:right w:val="none" w:sz="0" w:space="0" w:color="auto"/>
          </w:divBdr>
        </w:div>
        <w:div w:id="1823737402">
          <w:marLeft w:val="547"/>
          <w:marRight w:val="0"/>
          <w:marTop w:val="120"/>
          <w:marBottom w:val="120"/>
          <w:divBdr>
            <w:top w:val="none" w:sz="0" w:space="0" w:color="auto"/>
            <w:left w:val="none" w:sz="0" w:space="0" w:color="auto"/>
            <w:bottom w:val="none" w:sz="0" w:space="0" w:color="auto"/>
            <w:right w:val="none" w:sz="0" w:space="0" w:color="auto"/>
          </w:divBdr>
        </w:div>
        <w:div w:id="1146892530">
          <w:marLeft w:val="547"/>
          <w:marRight w:val="0"/>
          <w:marTop w:val="120"/>
          <w:marBottom w:val="120"/>
          <w:divBdr>
            <w:top w:val="none" w:sz="0" w:space="0" w:color="auto"/>
            <w:left w:val="none" w:sz="0" w:space="0" w:color="auto"/>
            <w:bottom w:val="none" w:sz="0" w:space="0" w:color="auto"/>
            <w:right w:val="none" w:sz="0" w:space="0" w:color="auto"/>
          </w:divBdr>
        </w:div>
      </w:divsChild>
    </w:div>
    <w:div w:id="1212308318">
      <w:bodyDiv w:val="1"/>
      <w:marLeft w:val="0"/>
      <w:marRight w:val="0"/>
      <w:marTop w:val="0"/>
      <w:marBottom w:val="0"/>
      <w:divBdr>
        <w:top w:val="none" w:sz="0" w:space="0" w:color="auto"/>
        <w:left w:val="none" w:sz="0" w:space="0" w:color="auto"/>
        <w:bottom w:val="none" w:sz="0" w:space="0" w:color="auto"/>
        <w:right w:val="none" w:sz="0" w:space="0" w:color="auto"/>
      </w:divBdr>
      <w:divsChild>
        <w:div w:id="1546021362">
          <w:marLeft w:val="547"/>
          <w:marRight w:val="0"/>
          <w:marTop w:val="120"/>
          <w:marBottom w:val="120"/>
          <w:divBdr>
            <w:top w:val="none" w:sz="0" w:space="0" w:color="auto"/>
            <w:left w:val="none" w:sz="0" w:space="0" w:color="auto"/>
            <w:bottom w:val="none" w:sz="0" w:space="0" w:color="auto"/>
            <w:right w:val="none" w:sz="0" w:space="0" w:color="auto"/>
          </w:divBdr>
        </w:div>
        <w:div w:id="1782261659">
          <w:marLeft w:val="547"/>
          <w:marRight w:val="0"/>
          <w:marTop w:val="120"/>
          <w:marBottom w:val="120"/>
          <w:divBdr>
            <w:top w:val="none" w:sz="0" w:space="0" w:color="auto"/>
            <w:left w:val="none" w:sz="0" w:space="0" w:color="auto"/>
            <w:bottom w:val="none" w:sz="0" w:space="0" w:color="auto"/>
            <w:right w:val="none" w:sz="0" w:space="0" w:color="auto"/>
          </w:divBdr>
        </w:div>
        <w:div w:id="1037706193">
          <w:marLeft w:val="547"/>
          <w:marRight w:val="0"/>
          <w:marTop w:val="120"/>
          <w:marBottom w:val="120"/>
          <w:divBdr>
            <w:top w:val="none" w:sz="0" w:space="0" w:color="auto"/>
            <w:left w:val="none" w:sz="0" w:space="0" w:color="auto"/>
            <w:bottom w:val="none" w:sz="0" w:space="0" w:color="auto"/>
            <w:right w:val="none" w:sz="0" w:space="0" w:color="auto"/>
          </w:divBdr>
        </w:div>
        <w:div w:id="1100417861">
          <w:marLeft w:val="547"/>
          <w:marRight w:val="0"/>
          <w:marTop w:val="120"/>
          <w:marBottom w:val="120"/>
          <w:divBdr>
            <w:top w:val="none" w:sz="0" w:space="0" w:color="auto"/>
            <w:left w:val="none" w:sz="0" w:space="0" w:color="auto"/>
            <w:bottom w:val="none" w:sz="0" w:space="0" w:color="auto"/>
            <w:right w:val="none" w:sz="0" w:space="0" w:color="auto"/>
          </w:divBdr>
        </w:div>
        <w:div w:id="32928998">
          <w:marLeft w:val="547"/>
          <w:marRight w:val="0"/>
          <w:marTop w:val="120"/>
          <w:marBottom w:val="120"/>
          <w:divBdr>
            <w:top w:val="none" w:sz="0" w:space="0" w:color="auto"/>
            <w:left w:val="none" w:sz="0" w:space="0" w:color="auto"/>
            <w:bottom w:val="none" w:sz="0" w:space="0" w:color="auto"/>
            <w:right w:val="none" w:sz="0" w:space="0" w:color="auto"/>
          </w:divBdr>
        </w:div>
        <w:div w:id="1248344990">
          <w:marLeft w:val="547"/>
          <w:marRight w:val="0"/>
          <w:marTop w:val="120"/>
          <w:marBottom w:val="120"/>
          <w:divBdr>
            <w:top w:val="none" w:sz="0" w:space="0" w:color="auto"/>
            <w:left w:val="none" w:sz="0" w:space="0" w:color="auto"/>
            <w:bottom w:val="none" w:sz="0" w:space="0" w:color="auto"/>
            <w:right w:val="none" w:sz="0" w:space="0" w:color="auto"/>
          </w:divBdr>
        </w:div>
      </w:divsChild>
    </w:div>
    <w:div w:id="1228805280">
      <w:bodyDiv w:val="1"/>
      <w:marLeft w:val="0"/>
      <w:marRight w:val="0"/>
      <w:marTop w:val="0"/>
      <w:marBottom w:val="0"/>
      <w:divBdr>
        <w:top w:val="none" w:sz="0" w:space="0" w:color="auto"/>
        <w:left w:val="none" w:sz="0" w:space="0" w:color="auto"/>
        <w:bottom w:val="none" w:sz="0" w:space="0" w:color="auto"/>
        <w:right w:val="none" w:sz="0" w:space="0" w:color="auto"/>
      </w:divBdr>
    </w:div>
    <w:div w:id="1356273817">
      <w:bodyDiv w:val="1"/>
      <w:marLeft w:val="0"/>
      <w:marRight w:val="0"/>
      <w:marTop w:val="0"/>
      <w:marBottom w:val="0"/>
      <w:divBdr>
        <w:top w:val="none" w:sz="0" w:space="0" w:color="auto"/>
        <w:left w:val="none" w:sz="0" w:space="0" w:color="auto"/>
        <w:bottom w:val="none" w:sz="0" w:space="0" w:color="auto"/>
        <w:right w:val="none" w:sz="0" w:space="0" w:color="auto"/>
      </w:divBdr>
      <w:divsChild>
        <w:div w:id="674265696">
          <w:marLeft w:val="547"/>
          <w:marRight w:val="0"/>
          <w:marTop w:val="120"/>
          <w:marBottom w:val="120"/>
          <w:divBdr>
            <w:top w:val="none" w:sz="0" w:space="0" w:color="auto"/>
            <w:left w:val="none" w:sz="0" w:space="0" w:color="auto"/>
            <w:bottom w:val="none" w:sz="0" w:space="0" w:color="auto"/>
            <w:right w:val="none" w:sz="0" w:space="0" w:color="auto"/>
          </w:divBdr>
        </w:div>
      </w:divsChild>
    </w:div>
    <w:div w:id="1360202774">
      <w:bodyDiv w:val="1"/>
      <w:marLeft w:val="0"/>
      <w:marRight w:val="0"/>
      <w:marTop w:val="0"/>
      <w:marBottom w:val="0"/>
      <w:divBdr>
        <w:top w:val="none" w:sz="0" w:space="0" w:color="auto"/>
        <w:left w:val="none" w:sz="0" w:space="0" w:color="auto"/>
        <w:bottom w:val="none" w:sz="0" w:space="0" w:color="auto"/>
        <w:right w:val="none" w:sz="0" w:space="0" w:color="auto"/>
      </w:divBdr>
    </w:div>
    <w:div w:id="1394541012">
      <w:bodyDiv w:val="1"/>
      <w:marLeft w:val="0"/>
      <w:marRight w:val="0"/>
      <w:marTop w:val="0"/>
      <w:marBottom w:val="0"/>
      <w:divBdr>
        <w:top w:val="none" w:sz="0" w:space="0" w:color="auto"/>
        <w:left w:val="none" w:sz="0" w:space="0" w:color="auto"/>
        <w:bottom w:val="none" w:sz="0" w:space="0" w:color="auto"/>
        <w:right w:val="none" w:sz="0" w:space="0" w:color="auto"/>
      </w:divBdr>
    </w:div>
    <w:div w:id="1580600044">
      <w:bodyDiv w:val="1"/>
      <w:marLeft w:val="0"/>
      <w:marRight w:val="0"/>
      <w:marTop w:val="0"/>
      <w:marBottom w:val="0"/>
      <w:divBdr>
        <w:top w:val="none" w:sz="0" w:space="0" w:color="auto"/>
        <w:left w:val="none" w:sz="0" w:space="0" w:color="auto"/>
        <w:bottom w:val="none" w:sz="0" w:space="0" w:color="auto"/>
        <w:right w:val="none" w:sz="0" w:space="0" w:color="auto"/>
      </w:divBdr>
      <w:divsChild>
        <w:div w:id="2065057740">
          <w:marLeft w:val="547"/>
          <w:marRight w:val="0"/>
          <w:marTop w:val="120"/>
          <w:marBottom w:val="120"/>
          <w:divBdr>
            <w:top w:val="none" w:sz="0" w:space="0" w:color="auto"/>
            <w:left w:val="none" w:sz="0" w:space="0" w:color="auto"/>
            <w:bottom w:val="none" w:sz="0" w:space="0" w:color="auto"/>
            <w:right w:val="none" w:sz="0" w:space="0" w:color="auto"/>
          </w:divBdr>
        </w:div>
        <w:div w:id="1400328201">
          <w:marLeft w:val="547"/>
          <w:marRight w:val="0"/>
          <w:marTop w:val="120"/>
          <w:marBottom w:val="120"/>
          <w:divBdr>
            <w:top w:val="none" w:sz="0" w:space="0" w:color="auto"/>
            <w:left w:val="none" w:sz="0" w:space="0" w:color="auto"/>
            <w:bottom w:val="none" w:sz="0" w:space="0" w:color="auto"/>
            <w:right w:val="none" w:sz="0" w:space="0" w:color="auto"/>
          </w:divBdr>
        </w:div>
        <w:div w:id="1183593705">
          <w:marLeft w:val="547"/>
          <w:marRight w:val="0"/>
          <w:marTop w:val="120"/>
          <w:marBottom w:val="120"/>
          <w:divBdr>
            <w:top w:val="none" w:sz="0" w:space="0" w:color="auto"/>
            <w:left w:val="none" w:sz="0" w:space="0" w:color="auto"/>
            <w:bottom w:val="none" w:sz="0" w:space="0" w:color="auto"/>
            <w:right w:val="none" w:sz="0" w:space="0" w:color="auto"/>
          </w:divBdr>
        </w:div>
        <w:div w:id="1094983811">
          <w:marLeft w:val="547"/>
          <w:marRight w:val="0"/>
          <w:marTop w:val="120"/>
          <w:marBottom w:val="120"/>
          <w:divBdr>
            <w:top w:val="none" w:sz="0" w:space="0" w:color="auto"/>
            <w:left w:val="none" w:sz="0" w:space="0" w:color="auto"/>
            <w:bottom w:val="none" w:sz="0" w:space="0" w:color="auto"/>
            <w:right w:val="none" w:sz="0" w:space="0" w:color="auto"/>
          </w:divBdr>
        </w:div>
      </w:divsChild>
    </w:div>
    <w:div w:id="1622955550">
      <w:bodyDiv w:val="1"/>
      <w:marLeft w:val="0"/>
      <w:marRight w:val="0"/>
      <w:marTop w:val="0"/>
      <w:marBottom w:val="0"/>
      <w:divBdr>
        <w:top w:val="none" w:sz="0" w:space="0" w:color="auto"/>
        <w:left w:val="none" w:sz="0" w:space="0" w:color="auto"/>
        <w:bottom w:val="none" w:sz="0" w:space="0" w:color="auto"/>
        <w:right w:val="none" w:sz="0" w:space="0" w:color="auto"/>
      </w:divBdr>
      <w:divsChild>
        <w:div w:id="13043695">
          <w:marLeft w:val="547"/>
          <w:marRight w:val="0"/>
          <w:marTop w:val="120"/>
          <w:marBottom w:val="120"/>
          <w:divBdr>
            <w:top w:val="none" w:sz="0" w:space="0" w:color="auto"/>
            <w:left w:val="none" w:sz="0" w:space="0" w:color="auto"/>
            <w:bottom w:val="none" w:sz="0" w:space="0" w:color="auto"/>
            <w:right w:val="none" w:sz="0" w:space="0" w:color="auto"/>
          </w:divBdr>
        </w:div>
        <w:div w:id="1487428286">
          <w:marLeft w:val="547"/>
          <w:marRight w:val="0"/>
          <w:marTop w:val="120"/>
          <w:marBottom w:val="120"/>
          <w:divBdr>
            <w:top w:val="none" w:sz="0" w:space="0" w:color="auto"/>
            <w:left w:val="none" w:sz="0" w:space="0" w:color="auto"/>
            <w:bottom w:val="none" w:sz="0" w:space="0" w:color="auto"/>
            <w:right w:val="none" w:sz="0" w:space="0" w:color="auto"/>
          </w:divBdr>
        </w:div>
      </w:divsChild>
    </w:div>
    <w:div w:id="1792170557">
      <w:bodyDiv w:val="1"/>
      <w:marLeft w:val="0"/>
      <w:marRight w:val="0"/>
      <w:marTop w:val="0"/>
      <w:marBottom w:val="0"/>
      <w:divBdr>
        <w:top w:val="none" w:sz="0" w:space="0" w:color="auto"/>
        <w:left w:val="none" w:sz="0" w:space="0" w:color="auto"/>
        <w:bottom w:val="none" w:sz="0" w:space="0" w:color="auto"/>
        <w:right w:val="none" w:sz="0" w:space="0" w:color="auto"/>
      </w:divBdr>
    </w:div>
    <w:div w:id="1885290117">
      <w:bodyDiv w:val="1"/>
      <w:marLeft w:val="0"/>
      <w:marRight w:val="0"/>
      <w:marTop w:val="0"/>
      <w:marBottom w:val="0"/>
      <w:divBdr>
        <w:top w:val="none" w:sz="0" w:space="0" w:color="auto"/>
        <w:left w:val="none" w:sz="0" w:space="0" w:color="auto"/>
        <w:bottom w:val="none" w:sz="0" w:space="0" w:color="auto"/>
        <w:right w:val="none" w:sz="0" w:space="0" w:color="auto"/>
      </w:divBdr>
      <w:divsChild>
        <w:div w:id="1897080154">
          <w:marLeft w:val="547"/>
          <w:marRight w:val="0"/>
          <w:marTop w:val="120"/>
          <w:marBottom w:val="120"/>
          <w:divBdr>
            <w:top w:val="none" w:sz="0" w:space="0" w:color="auto"/>
            <w:left w:val="none" w:sz="0" w:space="0" w:color="auto"/>
            <w:bottom w:val="none" w:sz="0" w:space="0" w:color="auto"/>
            <w:right w:val="none" w:sz="0" w:space="0" w:color="auto"/>
          </w:divBdr>
        </w:div>
        <w:div w:id="478808928">
          <w:marLeft w:val="547"/>
          <w:marRight w:val="0"/>
          <w:marTop w:val="120"/>
          <w:marBottom w:val="120"/>
          <w:divBdr>
            <w:top w:val="none" w:sz="0" w:space="0" w:color="auto"/>
            <w:left w:val="none" w:sz="0" w:space="0" w:color="auto"/>
            <w:bottom w:val="none" w:sz="0" w:space="0" w:color="auto"/>
            <w:right w:val="none" w:sz="0" w:space="0" w:color="auto"/>
          </w:divBdr>
        </w:div>
        <w:div w:id="120344751">
          <w:marLeft w:val="547"/>
          <w:marRight w:val="0"/>
          <w:marTop w:val="120"/>
          <w:marBottom w:val="120"/>
          <w:divBdr>
            <w:top w:val="none" w:sz="0" w:space="0" w:color="auto"/>
            <w:left w:val="none" w:sz="0" w:space="0" w:color="auto"/>
            <w:bottom w:val="none" w:sz="0" w:space="0" w:color="auto"/>
            <w:right w:val="none" w:sz="0" w:space="0" w:color="auto"/>
          </w:divBdr>
        </w:div>
      </w:divsChild>
    </w:div>
    <w:div w:id="2003317347">
      <w:bodyDiv w:val="1"/>
      <w:marLeft w:val="0"/>
      <w:marRight w:val="0"/>
      <w:marTop w:val="0"/>
      <w:marBottom w:val="0"/>
      <w:divBdr>
        <w:top w:val="none" w:sz="0" w:space="0" w:color="auto"/>
        <w:left w:val="none" w:sz="0" w:space="0" w:color="auto"/>
        <w:bottom w:val="none" w:sz="0" w:space="0" w:color="auto"/>
        <w:right w:val="none" w:sz="0" w:space="0" w:color="auto"/>
      </w:divBdr>
    </w:div>
    <w:div w:id="2058163049">
      <w:bodyDiv w:val="1"/>
      <w:marLeft w:val="0"/>
      <w:marRight w:val="0"/>
      <w:marTop w:val="0"/>
      <w:marBottom w:val="0"/>
      <w:divBdr>
        <w:top w:val="none" w:sz="0" w:space="0" w:color="auto"/>
        <w:left w:val="none" w:sz="0" w:space="0" w:color="auto"/>
        <w:bottom w:val="none" w:sz="0" w:space="0" w:color="auto"/>
        <w:right w:val="none" w:sz="0" w:space="0" w:color="auto"/>
      </w:divBdr>
      <w:divsChild>
        <w:div w:id="1074934346">
          <w:marLeft w:val="547"/>
          <w:marRight w:val="0"/>
          <w:marTop w:val="120"/>
          <w:marBottom w:val="120"/>
          <w:divBdr>
            <w:top w:val="none" w:sz="0" w:space="0" w:color="auto"/>
            <w:left w:val="none" w:sz="0" w:space="0" w:color="auto"/>
            <w:bottom w:val="none" w:sz="0" w:space="0" w:color="auto"/>
            <w:right w:val="none" w:sz="0" w:space="0" w:color="auto"/>
          </w:divBdr>
        </w:div>
        <w:div w:id="1082407166">
          <w:marLeft w:val="547"/>
          <w:marRight w:val="0"/>
          <w:marTop w:val="120"/>
          <w:marBottom w:val="120"/>
          <w:divBdr>
            <w:top w:val="none" w:sz="0" w:space="0" w:color="auto"/>
            <w:left w:val="none" w:sz="0" w:space="0" w:color="auto"/>
            <w:bottom w:val="none" w:sz="0" w:space="0" w:color="auto"/>
            <w:right w:val="none" w:sz="0" w:space="0" w:color="auto"/>
          </w:divBdr>
        </w:div>
      </w:divsChild>
    </w:div>
    <w:div w:id="2117747138">
      <w:bodyDiv w:val="1"/>
      <w:marLeft w:val="0"/>
      <w:marRight w:val="0"/>
      <w:marTop w:val="0"/>
      <w:marBottom w:val="0"/>
      <w:divBdr>
        <w:top w:val="none" w:sz="0" w:space="0" w:color="auto"/>
        <w:left w:val="none" w:sz="0" w:space="0" w:color="auto"/>
        <w:bottom w:val="none" w:sz="0" w:space="0" w:color="auto"/>
        <w:right w:val="none" w:sz="0" w:space="0" w:color="auto"/>
      </w:divBdr>
      <w:divsChild>
        <w:div w:id="482624181">
          <w:marLeft w:val="547"/>
          <w:marRight w:val="0"/>
          <w:marTop w:val="120"/>
          <w:marBottom w:val="120"/>
          <w:divBdr>
            <w:top w:val="none" w:sz="0" w:space="0" w:color="auto"/>
            <w:left w:val="none" w:sz="0" w:space="0" w:color="auto"/>
            <w:bottom w:val="none" w:sz="0" w:space="0" w:color="auto"/>
            <w:right w:val="none" w:sz="0" w:space="0" w:color="auto"/>
          </w:divBdr>
        </w:div>
        <w:div w:id="1455324558">
          <w:marLeft w:val="547"/>
          <w:marRight w:val="0"/>
          <w:marTop w:val="120"/>
          <w:marBottom w:val="120"/>
          <w:divBdr>
            <w:top w:val="none" w:sz="0" w:space="0" w:color="auto"/>
            <w:left w:val="none" w:sz="0" w:space="0" w:color="auto"/>
            <w:bottom w:val="none" w:sz="0" w:space="0" w:color="auto"/>
            <w:right w:val="none" w:sz="0" w:space="0" w:color="auto"/>
          </w:divBdr>
        </w:div>
        <w:div w:id="705908932">
          <w:marLeft w:val="547"/>
          <w:marRight w:val="0"/>
          <w:marTop w:val="120"/>
          <w:marBottom w:val="120"/>
          <w:divBdr>
            <w:top w:val="none" w:sz="0" w:space="0" w:color="auto"/>
            <w:left w:val="none" w:sz="0" w:space="0" w:color="auto"/>
            <w:bottom w:val="none" w:sz="0" w:space="0" w:color="auto"/>
            <w:right w:val="none" w:sz="0" w:space="0" w:color="auto"/>
          </w:divBdr>
        </w:div>
        <w:div w:id="1159999957">
          <w:marLeft w:val="547"/>
          <w:marRight w:val="0"/>
          <w:marTop w:val="120"/>
          <w:marBottom w:val="120"/>
          <w:divBdr>
            <w:top w:val="none" w:sz="0" w:space="0" w:color="auto"/>
            <w:left w:val="none" w:sz="0" w:space="0" w:color="auto"/>
            <w:bottom w:val="none" w:sz="0" w:space="0" w:color="auto"/>
            <w:right w:val="none" w:sz="0" w:space="0" w:color="auto"/>
          </w:divBdr>
        </w:div>
        <w:div w:id="32258790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7.xml"/><Relationship Id="rId42" Type="http://schemas.openxmlformats.org/officeDocument/2006/relationships/hyperlink" Target="http://www.deewr.gov.au/HigherEducation/Documents/TransformingAusHigherED.pdf" TargetMode="External"/><Relationship Id="rId47" Type="http://schemas.openxmlformats.org/officeDocument/2006/relationships/hyperlink" Target="http://www.nursingmidwiferyboard.gov.au/documents/default.aspx?record=WD10%2f1342&amp;dbid=AP&amp;chksum=N5ws04xdBlZijTTSdKnSTQ%3d%3d" TargetMode="External"/><Relationship Id="rId63" Type="http://schemas.openxmlformats.org/officeDocument/2006/relationships/hyperlink" Target="http://www.cceintl.org/uploads/2010-04-26_CCEI_International_Chiropractic_Accreditation_Standards_vfd_5_09.pdf" TargetMode="External"/><Relationship Id="rId68" Type="http://schemas.openxmlformats.org/officeDocument/2006/relationships/hyperlink" Target="http://www.cce-europe.com/downloads.html?file=tl_files/documents/documents/archive/Accreditation%20Procedures%20and%20Standards%20-%20December%202014%20-%20Version%204.3.pdf" TargetMode="External"/><Relationship Id="rId84" Type="http://schemas.openxmlformats.org/officeDocument/2006/relationships/hyperlink" Target="http://www.nursingmidwiferyboard.gov.au/documents/default.aspx?record=WD10%2f1342&amp;dbid=AP&amp;chksum=N5ws04xdBlZijTTSdKnSTQ%3d%3d" TargetMode="External"/><Relationship Id="rId89" Type="http://schemas.openxmlformats.org/officeDocument/2006/relationships/hyperlink" Target="https://www.wfc.org/website/index.php?option=com_content&amp;view=article&amp;id=90&amp;Itemid=110" TargetMode="External"/><Relationship Id="rId16" Type="http://schemas.openxmlformats.org/officeDocument/2006/relationships/footer" Target="footer4.xml"/><Relationship Id="rId11" Type="http://schemas.openxmlformats.org/officeDocument/2006/relationships/footer" Target="footer2.xml"/><Relationship Id="rId32" Type="http://schemas.openxmlformats.org/officeDocument/2006/relationships/header" Target="header14.xml"/><Relationship Id="rId37" Type="http://schemas.openxmlformats.org/officeDocument/2006/relationships/header" Target="header18.xml"/><Relationship Id="rId53" Type="http://schemas.openxmlformats.org/officeDocument/2006/relationships/hyperlink" Target="http://www.phcris.org.au/guides/about_phc.php" TargetMode="External"/><Relationship Id="rId58" Type="http://schemas.openxmlformats.org/officeDocument/2006/relationships/hyperlink" Target="http://www.coaghealthcouncil.gov.au/DesktopModules/EasyDNNNews/DocumentDownload.ashx?portalid=0&amp;moduleid=524&amp;articleid=51&amp;documentid=54" TargetMode="External"/><Relationship Id="rId74" Type="http://schemas.openxmlformats.org/officeDocument/2006/relationships/hyperlink" Target="https://www.hwa.gov.au/search/node/simulation" TargetMode="External"/><Relationship Id="rId79" Type="http://schemas.openxmlformats.org/officeDocument/2006/relationships/hyperlink" Target="https://ahha.asn.au/sites/default/files/docs/page/consultation_paper_for_publication_revised_19.12.14_0.pdf" TargetMode="External"/><Relationship Id="rId5" Type="http://schemas.openxmlformats.org/officeDocument/2006/relationships/webSettings" Target="webSettings.xml"/><Relationship Id="rId90" Type="http://schemas.openxmlformats.org/officeDocument/2006/relationships/hyperlink" Target="http://wfme.org/standards/bme/78-new-version-2012-quality-improvement-in-basic-medical-education-english/file" TargetMode="External"/><Relationship Id="rId95" Type="http://schemas.openxmlformats.org/officeDocument/2006/relationships/footer" Target="footer10.xml"/><Relationship Id="rId22" Type="http://schemas.openxmlformats.org/officeDocument/2006/relationships/header" Target="header8.xml"/><Relationship Id="rId27" Type="http://schemas.openxmlformats.org/officeDocument/2006/relationships/header" Target="header11.xml"/><Relationship Id="rId43" Type="http://schemas.openxmlformats.org/officeDocument/2006/relationships/hyperlink" Target="http://www.ahpra.gov.au/Publications/Procedures.aspx" TargetMode="External"/><Relationship Id="rId48" Type="http://schemas.openxmlformats.org/officeDocument/2006/relationships/hyperlink" Target="http://www.anmac.org.au/sites/default/files/documents/ANMAC_Protocol-For_the_review_of_nursing_and_midwifery_accreditation_standards.pdf" TargetMode="External"/><Relationship Id="rId64" Type="http://schemas.openxmlformats.org/officeDocument/2006/relationships/hyperlink" Target="http://www.cceintl.org/uploads/2010-04-26CCEI_Statement_on_Equivalence_Updated_vfd_5_09.pdf" TargetMode="External"/><Relationship Id="rId69" Type="http://schemas.openxmlformats.org/officeDocument/2006/relationships/hyperlink" Target="http://www.ahpra.gov.au/Publications/Accreditation-publications.aspx" TargetMode="External"/><Relationship Id="rId80" Type="http://schemas.openxmlformats.org/officeDocument/2006/relationships/hyperlink" Target="http://www.naccho.org.au/download/aboriginal-health/PHC%20Strategy_NACCHO_submission_FINAL_(2).pdf" TargetMode="External"/><Relationship Id="rId85" Type="http://schemas.openxmlformats.org/officeDocument/2006/relationships/hyperlink" Target="http://www.olt.gov.au/system/files/resources/altc_standards_HMVS_210611_0.pdf"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image" Target="media/image5.png"/><Relationship Id="rId33" Type="http://schemas.openxmlformats.org/officeDocument/2006/relationships/header" Target="header15.xml"/><Relationship Id="rId38" Type="http://schemas.openxmlformats.org/officeDocument/2006/relationships/footer" Target="footer9.xml"/><Relationship Id="rId46" Type="http://schemas.openxmlformats.org/officeDocument/2006/relationships/hyperlink" Target="http://www.anmac.org.au/sites/default/files/documents/National_Guidelines_for_the_Accreditation_of_Nursing_and_Midwifery_Programs_0.pdf" TargetMode="External"/><Relationship Id="rId59" Type="http://schemas.openxmlformats.org/officeDocument/2006/relationships/hyperlink" Target="https://www.coag.gov.au/the_trans-tasman_mutual_recognition_arrangement" TargetMode="External"/><Relationship Id="rId67" Type="http://schemas.openxmlformats.org/officeDocument/2006/relationships/hyperlink" Target="http://docs.education.gov.au/node/33587" TargetMode="External"/><Relationship Id="rId20" Type="http://schemas.openxmlformats.org/officeDocument/2006/relationships/image" Target="media/image4.png"/><Relationship Id="rId41" Type="http://schemas.openxmlformats.org/officeDocument/2006/relationships/hyperlink" Target="http://www.mq.edu.au/pubstatic/public/download.jsp?id=111997" TargetMode="External"/><Relationship Id="rId54" Type="http://schemas.openxmlformats.org/officeDocument/2006/relationships/hyperlink" Target="http://www.aqf.edu.au/wp-content/uploads/2013/05/AQF-2nd-Edition-January-2013.pdf" TargetMode="External"/><Relationship Id="rId62" Type="http://schemas.openxmlformats.org/officeDocument/2006/relationships/hyperlink" Target="http://www.ccea.com.au/files/4213/8872/1929/CCEA_Educational_Standards_-_First_Professional_-_December_2009.pdf" TargetMode="External"/><Relationship Id="rId70" Type="http://schemas.openxmlformats.org/officeDocument/2006/relationships/hyperlink" Target="http://www.ahpra.gov.au/Publications/Accreditation-publications.aspx" TargetMode="External"/><Relationship Id="rId75" Type="http://schemas.openxmlformats.org/officeDocument/2006/relationships/hyperlink" Target="http://www.hestandards.gov.au/final-proposed-framework" TargetMode="External"/><Relationship Id="rId83" Type="http://schemas.openxmlformats.org/officeDocument/2006/relationships/hyperlink" Target="http://www.nps.org.au/__data/assets/pdf_file/0004/149719/Prescribing_Competencies_Framework.pdf" TargetMode="External"/><Relationship Id="rId88" Type="http://schemas.openxmlformats.org/officeDocument/2006/relationships/hyperlink" Target="http://www.health.vic.gov.au/placements/resources/index.htm" TargetMode="External"/><Relationship Id="rId91" Type="http://schemas.openxmlformats.org/officeDocument/2006/relationships/hyperlink" Target="http://www.who.int/chp/knowledge/publications/workforce_report.pdf?ua=1" TargetMode="External"/><Relationship Id="rId96"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7.xml"/><Relationship Id="rId49" Type="http://schemas.openxmlformats.org/officeDocument/2006/relationships/hyperlink" Target="http://www.anmac.org.au/sites/default/files/documents/ANMAC%20First%20Consultation%20Paper%20Review%20RN%20Standards%20Oct%202011.pdf" TargetMode="External"/><Relationship Id="rId57" Type="http://schemas.openxmlformats.org/officeDocument/2006/relationships/hyperlink" Target="https://health.gov.au/internet/main/publishing.nsf/Content/72C7E23E1BD5E9CFCA257F640082CD48/$File/Health-Curriculum-Framework.pdf" TargetMode="External"/><Relationship Id="rId10" Type="http://schemas.openxmlformats.org/officeDocument/2006/relationships/footer" Target="footer1.xml"/><Relationship Id="rId31" Type="http://schemas.openxmlformats.org/officeDocument/2006/relationships/header" Target="header13.xml"/><Relationship Id="rId44" Type="http://schemas.openxmlformats.org/officeDocument/2006/relationships/hyperlink" Target="http://www.amc.org.au/files/d0ffcecda9608cf49c66c93a79a4ad549638bea0_original.pdf" TargetMode="External"/><Relationship Id="rId52" Type="http://schemas.openxmlformats.org/officeDocument/2006/relationships/hyperlink" Target="http://www.physiocouncil.com.au/files/the-australian-standards-for-physiotherapy" TargetMode="External"/><Relationship Id="rId60" Type="http://schemas.openxmlformats.org/officeDocument/2006/relationships/hyperlink" Target="http://www.ahpra.gov.au/Legislation-and-Publications/Ministerial-Directives-and-Communiques.aspx" TargetMode="External"/><Relationship Id="rId65" Type="http://schemas.openxmlformats.org/officeDocument/2006/relationships/hyperlink" Target="http://www.cceintl.org/uploads/Policy_2_Standards_Review_Vfd_604.pdf" TargetMode="External"/><Relationship Id="rId73" Type="http://schemas.openxmlformats.org/officeDocument/2006/relationships/hyperlink" Target="http://www.ahpra.gov.au/About-AHPRA/What-We-Do/Legislation.aspx" TargetMode="External"/><Relationship Id="rId78" Type="http://schemas.openxmlformats.org/officeDocument/2006/relationships/hyperlink" Target="http://www.altfutures.org/pubs/health/Future%20of%20Chiropractic%20Revisted%20v1.pdf" TargetMode="External"/><Relationship Id="rId81" Type="http://schemas.openxmlformats.org/officeDocument/2006/relationships/hyperlink" Target="http://www.nbce.org/practiceanalysis/" TargetMode="External"/><Relationship Id="rId86" Type="http://schemas.openxmlformats.org/officeDocument/2006/relationships/hyperlink" Target="http://www.ocanz.org/documents/information-1/45-ocanz-consultation-paper" TargetMode="External"/><Relationship Id="rId9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hyperlink" Target="http://www.achs.org.au/about-us/what-we-do/what-is-accreditation/" TargetMode="External"/><Relationship Id="rId34" Type="http://schemas.openxmlformats.org/officeDocument/2006/relationships/footer" Target="footer8.xml"/><Relationship Id="rId50" Type="http://schemas.openxmlformats.org/officeDocument/2006/relationships/hyperlink" Target="http://pharmacycouncil.org.au/content/assets/files/Publications/Accreditation%20Standards%20for%20Pharmacy%20Degree%20Programs%202014.pdf" TargetMode="External"/><Relationship Id="rId55" Type="http://schemas.openxmlformats.org/officeDocument/2006/relationships/hyperlink" Target="http://www.chirofed.ca/english/pdf/Standards-for-Accreditation-of-Doctor-of-Chiropractic-Programmes.pdf" TargetMode="External"/><Relationship Id="rId76" Type="http://schemas.openxmlformats.org/officeDocument/2006/relationships/hyperlink" Target="http://www.comlaw.gov.au/Details/F2013C00169/abf13114-80e5-424e-8058-77b8d62969e6"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royalcollege.ca/common/documents/canmeds/framework/canmeds2015_framework_series_IV_e.pdf" TargetMode="External"/><Relationship Id="rId92" Type="http://schemas.openxmlformats.org/officeDocument/2006/relationships/hyperlink" Target="mailto:admin@ccea.com.au" TargetMode="External"/><Relationship Id="rId2" Type="http://schemas.openxmlformats.org/officeDocument/2006/relationships/numbering" Target="numbering.xml"/><Relationship Id="rId29" Type="http://schemas.openxmlformats.org/officeDocument/2006/relationships/footer" Target="footer7.xml"/><Relationship Id="rId24" Type="http://schemas.openxmlformats.org/officeDocument/2006/relationships/footer" Target="footer6.xml"/><Relationship Id="rId40" Type="http://schemas.openxmlformats.org/officeDocument/2006/relationships/hyperlink" Target="http://www.adc.org.au/documents/ADC%20Consultation%20paper%20Sept%202014%20.pdf" TargetMode="External"/><Relationship Id="rId45" Type="http://schemas.openxmlformats.org/officeDocument/2006/relationships/hyperlink" Target="http://www.anzpac.org.au/accreditation.html" TargetMode="External"/><Relationship Id="rId66" Type="http://schemas.openxmlformats.org/officeDocument/2006/relationships/hyperlink" Target="http://www.industry.gov.au/research/Documents/2010ReviewofCategory2Income.pdf" TargetMode="External"/><Relationship Id="rId87" Type="http://schemas.openxmlformats.org/officeDocument/2006/relationships/hyperlink" Target="http://www.comlaw.gov.au/Details/C2012C00737/5bcace89-61a0-42de-93ad-3a6456659d79" TargetMode="External"/><Relationship Id="rId61" Type="http://schemas.openxmlformats.org/officeDocument/2006/relationships/hyperlink" Target="http://www.ccea.com.au/index.php/download_file/view/18/177/" TargetMode="External"/><Relationship Id="rId82" Type="http://schemas.openxmlformats.org/officeDocument/2006/relationships/hyperlink" Target="http://www.nzqa.govt.nz/studying-in-new-zealand/understand-nz-quals/nzqf/" TargetMode="External"/><Relationship Id="rId19" Type="http://schemas.openxmlformats.org/officeDocument/2006/relationships/image" Target="media/image3.png"/><Relationship Id="rId14" Type="http://schemas.openxmlformats.org/officeDocument/2006/relationships/header" Target="header4.xml"/><Relationship Id="rId30" Type="http://schemas.openxmlformats.org/officeDocument/2006/relationships/image" Target="media/image6.png"/><Relationship Id="rId35" Type="http://schemas.openxmlformats.org/officeDocument/2006/relationships/header" Target="header16.xml"/><Relationship Id="rId56" Type="http://schemas.openxmlformats.org/officeDocument/2006/relationships/hyperlink" Target="http://www.chiropracticboard.gov.au/Codes-guidelines/Code-of-conduct.aspx" TargetMode="External"/><Relationship Id="rId77" Type="http://schemas.openxmlformats.org/officeDocument/2006/relationships/hyperlink" Target="http://chiromt.biomedcentral.com/articles/10.1186/s12998-016-0084-0" TargetMode="External"/><Relationship Id="rId8" Type="http://schemas.openxmlformats.org/officeDocument/2006/relationships/header" Target="header1.xml"/><Relationship Id="rId51" Type="http://schemas.openxmlformats.org/officeDocument/2006/relationships/hyperlink" Target="http://www.physiocouncil.com.au/accreditation/2015_ConsultationPaper.pdf" TargetMode="External"/><Relationship Id="rId72" Type="http://schemas.openxmlformats.org/officeDocument/2006/relationships/hyperlink" Target="http://www.governanceinstitute.com.au/knowledge-resources/governance-foundations/" TargetMode="External"/><Relationship Id="rId93" Type="http://schemas.openxmlformats.org/officeDocument/2006/relationships/header" Target="header19.xml"/><Relationship Id="rId98" Type="http://schemas.openxmlformats.org/officeDocument/2006/relationships/theme" Target="theme/theme1.xml"/></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phcris.org.au/guides/about_phc.php" TargetMode="External"/></Relationships>
</file>

<file path=word/_rels/header20.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AppData\Local\Microsoft\Windows\INetCache\Content.Outlook\VBNJY2GT\CCEA-report-template-accreditatio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CCEA">
  <a:themeElements>
    <a:clrScheme name="CCEA">
      <a:dk1>
        <a:srgbClr val="363535"/>
      </a:dk1>
      <a:lt1>
        <a:sysClr val="window" lastClr="FFFFFF"/>
      </a:lt1>
      <a:dk2>
        <a:srgbClr val="046E9C"/>
      </a:dk2>
      <a:lt2>
        <a:srgbClr val="606060"/>
      </a:lt2>
      <a:accent1>
        <a:srgbClr val="046E9C"/>
      </a:accent1>
      <a:accent2>
        <a:srgbClr val="27A2CC"/>
      </a:accent2>
      <a:accent3>
        <a:srgbClr val="4DBDA3"/>
      </a:accent3>
      <a:accent4>
        <a:srgbClr val="6BA5A1"/>
      </a:accent4>
      <a:accent5>
        <a:srgbClr val="517ABD"/>
      </a:accent5>
      <a:accent6>
        <a:srgbClr val="469C9C"/>
      </a:accent6>
      <a:hlink>
        <a:srgbClr val="046E9C"/>
      </a:hlink>
      <a:folHlink>
        <a:srgbClr val="27A2C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Wavef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8ADBE-08EC-4A7B-980F-79149C6B3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CCEA-report-template-accreditation.dotx</Template>
  <TotalTime>0</TotalTime>
  <Pages>37</Pages>
  <Words>9790</Words>
  <Characters>55806</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CCEA Accreditation and Competency Standards 2017</dc:title>
  <dc:subject>Standard</dc:subject>
  <dc:creator>Chiropractic Board</dc:creator>
  <cp:lastModifiedBy>Sheryl Kamath</cp:lastModifiedBy>
  <cp:revision>2</cp:revision>
  <cp:lastPrinted>2016-07-08T02:28:00Z</cp:lastPrinted>
  <dcterms:created xsi:type="dcterms:W3CDTF">2017-07-06T00:47:00Z</dcterms:created>
  <dcterms:modified xsi:type="dcterms:W3CDTF">2017-07-06T00:47:00Z</dcterms:modified>
</cp:coreProperties>
</file>