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43" w:rsidRDefault="00A45C43" w:rsidP="00493F83">
      <w:pPr>
        <w:pStyle w:val="Default"/>
        <w:spacing w:line="288" w:lineRule="auto"/>
        <w:rPr>
          <w:color w:val="00BBE3"/>
          <w:sz w:val="32"/>
        </w:rPr>
      </w:pPr>
    </w:p>
    <w:p w:rsidR="00A45C43" w:rsidRDefault="00A45C43" w:rsidP="00493F83">
      <w:pPr>
        <w:pStyle w:val="Default"/>
        <w:spacing w:line="288" w:lineRule="auto"/>
        <w:rPr>
          <w:color w:val="00BBE3"/>
          <w:sz w:val="32"/>
        </w:rPr>
      </w:pPr>
    </w:p>
    <w:p w:rsidR="00A45C43" w:rsidRDefault="00A45C43" w:rsidP="00493F83">
      <w:pPr>
        <w:pStyle w:val="Default"/>
        <w:spacing w:line="288" w:lineRule="auto"/>
        <w:rPr>
          <w:color w:val="00BBE3"/>
          <w:sz w:val="32"/>
        </w:rPr>
      </w:pPr>
    </w:p>
    <w:p w:rsidR="00D95CA7" w:rsidRDefault="00D95CA7" w:rsidP="00493F83">
      <w:pPr>
        <w:pStyle w:val="Default"/>
        <w:spacing w:line="288" w:lineRule="auto"/>
        <w:rPr>
          <w:color w:val="00BBE3"/>
          <w:sz w:val="32"/>
        </w:rPr>
      </w:pPr>
      <w:bookmarkStart w:id="0" w:name="OLE_LINK3"/>
      <w:bookmarkStart w:id="1" w:name="OLE_LINK4"/>
    </w:p>
    <w:p w:rsidR="00A45C43" w:rsidRDefault="006C7F19" w:rsidP="00493F83">
      <w:pPr>
        <w:pStyle w:val="Default"/>
        <w:spacing w:line="288" w:lineRule="auto"/>
        <w:rPr>
          <w:color w:val="00BBE3"/>
          <w:sz w:val="32"/>
        </w:rPr>
      </w:pPr>
      <w:r>
        <w:rPr>
          <w:color w:val="00BBE3"/>
          <w:sz w:val="32"/>
        </w:rPr>
        <w:t xml:space="preserve">Communiqué </w:t>
      </w:r>
    </w:p>
    <w:bookmarkEnd w:id="0"/>
    <w:bookmarkEnd w:id="1"/>
    <w:p w:rsidR="00A45C43" w:rsidRDefault="007E252C"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A45C43" w:rsidRDefault="006C7F19" w:rsidP="00A2092B">
      <w:pPr>
        <w:pStyle w:val="AHPRAbody"/>
      </w:pPr>
      <w:r>
        <w:t xml:space="preserve">The </w:t>
      </w:r>
      <w:bookmarkStart w:id="2" w:name="OLE_LINK1"/>
      <w:bookmarkStart w:id="3" w:name="OLE_LINK2"/>
      <w:r w:rsidR="00397213">
        <w:t>February</w:t>
      </w:r>
      <w:r w:rsidR="00DE2EF7">
        <w:t xml:space="preserve"> </w:t>
      </w:r>
      <w:r w:rsidR="00493F83">
        <w:t>2015 meeting</w:t>
      </w:r>
      <w:r>
        <w:t xml:space="preserve"> of the </w:t>
      </w:r>
      <w:bookmarkStart w:id="4" w:name="OLE_LINK5"/>
      <w:bookmarkStart w:id="5" w:name="OLE_LINK6"/>
      <w:r>
        <w:t xml:space="preserve">Chiropractic Board </w:t>
      </w:r>
      <w:bookmarkEnd w:id="4"/>
      <w:bookmarkEnd w:id="5"/>
      <w:r>
        <w:t xml:space="preserve">of Australia </w:t>
      </w:r>
      <w:bookmarkEnd w:id="2"/>
      <w:bookmarkEnd w:id="3"/>
      <w:r>
        <w:t xml:space="preserve">(the Board) was held on </w:t>
      </w:r>
      <w:r w:rsidR="00DE2EF7">
        <w:t>2</w:t>
      </w:r>
      <w:r w:rsidR="00397213">
        <w:t>0 February</w:t>
      </w:r>
      <w:r w:rsidR="00DE2EF7">
        <w:t xml:space="preserve"> 2015</w:t>
      </w:r>
      <w:r>
        <w:t xml:space="preserve"> at the</w:t>
      </w:r>
      <w:r w:rsidR="00247B80">
        <w:t xml:space="preserve"> Australian Health Practitioner Regulation Agency (AHPRA)</w:t>
      </w:r>
      <w:r w:rsidR="006C0A50">
        <w:t xml:space="preserve"> </w:t>
      </w:r>
      <w:r w:rsidR="00080839">
        <w:t>National Office</w:t>
      </w:r>
      <w:r w:rsidR="000268FF">
        <w:t xml:space="preserve"> in </w:t>
      </w:r>
      <w:r w:rsidR="006C0A50">
        <w:t>Melbourne</w:t>
      </w:r>
      <w:r>
        <w:t xml:space="preserve">. This communiqué highlights the important issues from this meeting. </w:t>
      </w:r>
    </w:p>
    <w:p w:rsidR="00012520" w:rsidRDefault="00012520" w:rsidP="00A2092B">
      <w:pPr>
        <w:pStyle w:val="AHPRAbody"/>
        <w:rPr>
          <w:color w:val="000000"/>
          <w:lang w:eastAsia="en-US"/>
        </w:rPr>
      </w:pPr>
      <w:r w:rsidRPr="00012520">
        <w:rPr>
          <w:color w:val="000000"/>
          <w:lang w:eastAsia="en-US"/>
        </w:rPr>
        <w:t xml:space="preserve">At each meeting, the Board considers a wide range of issues, many of which are routine and are not included in this communiqué. </w:t>
      </w:r>
      <w:bookmarkStart w:id="6" w:name="_GoBack"/>
      <w:bookmarkEnd w:id="6"/>
    </w:p>
    <w:p w:rsidR="00012520" w:rsidRPr="00D61150" w:rsidRDefault="00012520" w:rsidP="00A2092B">
      <w:pPr>
        <w:pStyle w:val="AHPRAbody"/>
      </w:pPr>
      <w:r w:rsidRPr="00012520">
        <w:rPr>
          <w:color w:val="000000"/>
          <w:lang w:eastAsia="en-US"/>
        </w:rPr>
        <w:t>The Board publishes this communiqué on its website and emails it to a broad range of stakeholders. Please forward it on to colleagues and employees who may be interested.</w:t>
      </w:r>
      <w:r w:rsidRPr="00D61150">
        <w:t xml:space="preserve"> </w:t>
      </w:r>
    </w:p>
    <w:p w:rsidR="00762A8E" w:rsidRDefault="00762A8E" w:rsidP="00A2092B">
      <w:pPr>
        <w:pStyle w:val="AHPRASubhead"/>
      </w:pPr>
      <w:r>
        <w:t xml:space="preserve">Australia Day </w:t>
      </w:r>
      <w:proofErr w:type="spellStart"/>
      <w:r>
        <w:t>Honours</w:t>
      </w:r>
      <w:proofErr w:type="spellEnd"/>
      <w:r>
        <w:t xml:space="preserve"> for Board Chair</w:t>
      </w:r>
    </w:p>
    <w:p w:rsidR="00762A8E" w:rsidRPr="007D0AD9" w:rsidRDefault="00762A8E" w:rsidP="00A2092B">
      <w:pPr>
        <w:spacing w:before="207" w:after="207" w:line="207" w:lineRule="atLeast"/>
        <w:ind w:right="207"/>
        <w:jc w:val="left"/>
        <w:rPr>
          <w:rFonts w:eastAsia="Cambria" w:cs="Times New Roman"/>
          <w:color w:val="000000"/>
          <w:sz w:val="20"/>
          <w:lang w:eastAsia="en-US"/>
        </w:rPr>
      </w:pPr>
      <w:r w:rsidRPr="007D0AD9">
        <w:rPr>
          <w:rFonts w:eastAsia="Cambria" w:cs="Times New Roman"/>
          <w:color w:val="000000"/>
          <w:sz w:val="20"/>
          <w:lang w:eastAsia="en-US"/>
        </w:rPr>
        <w:t xml:space="preserve">The </w:t>
      </w:r>
      <w:r w:rsidR="007D0AD9">
        <w:rPr>
          <w:rFonts w:eastAsia="Cambria" w:cs="Times New Roman"/>
          <w:color w:val="000000"/>
          <w:sz w:val="20"/>
          <w:lang w:eastAsia="en-US"/>
        </w:rPr>
        <w:t xml:space="preserve">Board congratulated </w:t>
      </w:r>
      <w:r w:rsidRPr="007D0AD9">
        <w:rPr>
          <w:rFonts w:eastAsia="Cambria" w:cs="Times New Roman"/>
          <w:color w:val="000000"/>
          <w:sz w:val="20"/>
          <w:lang w:eastAsia="en-US"/>
        </w:rPr>
        <w:t>Chiropractic Board of Australia</w:t>
      </w:r>
      <w:r w:rsidR="00247B80">
        <w:rPr>
          <w:rFonts w:eastAsia="Cambria" w:cs="Times New Roman"/>
          <w:color w:val="000000"/>
          <w:sz w:val="20"/>
          <w:lang w:eastAsia="en-US"/>
        </w:rPr>
        <w:t xml:space="preserve"> Chair</w:t>
      </w:r>
      <w:r w:rsidRPr="007D0AD9">
        <w:rPr>
          <w:rFonts w:eastAsia="Cambria" w:cs="Times New Roman"/>
          <w:color w:val="000000"/>
          <w:sz w:val="20"/>
          <w:lang w:eastAsia="en-US"/>
        </w:rPr>
        <w:t xml:space="preserve">, Dr Wayne Minter, </w:t>
      </w:r>
      <w:r w:rsidR="007D0AD9">
        <w:rPr>
          <w:rFonts w:eastAsia="Cambria" w:cs="Times New Roman"/>
          <w:color w:val="000000"/>
          <w:sz w:val="20"/>
          <w:lang w:eastAsia="en-US"/>
        </w:rPr>
        <w:t>for being</w:t>
      </w:r>
      <w:r w:rsidRPr="007D0AD9">
        <w:rPr>
          <w:rFonts w:eastAsia="Cambria" w:cs="Times New Roman"/>
          <w:color w:val="000000"/>
          <w:sz w:val="20"/>
          <w:lang w:eastAsia="en-US"/>
        </w:rPr>
        <w:t xml:space="preserve"> recognised with a Member (AM) of the Order of Australia in this year’s Australia Day Honours.</w:t>
      </w:r>
    </w:p>
    <w:p w:rsidR="00762A8E" w:rsidRPr="007D0AD9" w:rsidRDefault="00762A8E" w:rsidP="00A2092B">
      <w:pPr>
        <w:spacing w:before="207" w:after="207" w:line="207" w:lineRule="atLeast"/>
        <w:ind w:right="207"/>
        <w:jc w:val="left"/>
        <w:rPr>
          <w:rFonts w:eastAsia="Cambria" w:cs="Times New Roman"/>
          <w:color w:val="000000"/>
          <w:sz w:val="20"/>
          <w:lang w:eastAsia="en-US"/>
        </w:rPr>
      </w:pPr>
      <w:r w:rsidRPr="007D0AD9">
        <w:rPr>
          <w:rFonts w:eastAsia="Cambria" w:cs="Times New Roman"/>
          <w:color w:val="000000"/>
          <w:sz w:val="20"/>
          <w:lang w:eastAsia="en-US"/>
        </w:rPr>
        <w:t xml:space="preserve">Dr Minter’s award recognised his significant service to chiropractic health through educational programs, clinical practice standards and patient management. </w:t>
      </w:r>
    </w:p>
    <w:p w:rsidR="00762A8E" w:rsidRPr="007D0AD9" w:rsidRDefault="00762A8E" w:rsidP="00A2092B">
      <w:pPr>
        <w:spacing w:before="207" w:after="207" w:line="207" w:lineRule="atLeast"/>
        <w:ind w:right="207"/>
        <w:jc w:val="left"/>
        <w:rPr>
          <w:rFonts w:eastAsia="Cambria" w:cs="Times New Roman"/>
          <w:color w:val="000000"/>
          <w:sz w:val="20"/>
          <w:lang w:eastAsia="en-US"/>
        </w:rPr>
      </w:pPr>
      <w:r w:rsidRPr="007D0AD9">
        <w:rPr>
          <w:rFonts w:eastAsia="Cambria" w:cs="Times New Roman"/>
          <w:color w:val="000000"/>
          <w:sz w:val="20"/>
          <w:lang w:eastAsia="en-US"/>
        </w:rPr>
        <w:t>Dr Minter has been in private practice since 1981 and was appointed Board Chair in 2014. His ongoing commitment to post-professional education has helped the Board support the profession’s transition to meeting the registration requirements of the National</w:t>
      </w:r>
      <w:r w:rsidR="00247B80">
        <w:rPr>
          <w:rFonts w:eastAsia="Cambria" w:cs="Times New Roman"/>
          <w:color w:val="000000"/>
          <w:sz w:val="20"/>
          <w:lang w:eastAsia="en-US"/>
        </w:rPr>
        <w:t xml:space="preserve"> Registration and Accreditation Scheme (the National</w:t>
      </w:r>
      <w:r w:rsidRPr="007D0AD9">
        <w:rPr>
          <w:rFonts w:eastAsia="Cambria" w:cs="Times New Roman"/>
          <w:color w:val="000000"/>
          <w:sz w:val="20"/>
          <w:lang w:eastAsia="en-US"/>
        </w:rPr>
        <w:t xml:space="preserve"> Scheme</w:t>
      </w:r>
      <w:r w:rsidR="00247B80">
        <w:rPr>
          <w:rFonts w:eastAsia="Cambria" w:cs="Times New Roman"/>
          <w:color w:val="000000"/>
          <w:sz w:val="20"/>
          <w:lang w:eastAsia="en-US"/>
        </w:rPr>
        <w:t>)</w:t>
      </w:r>
      <w:r w:rsidRPr="007D0AD9">
        <w:rPr>
          <w:rFonts w:eastAsia="Cambria" w:cs="Times New Roman"/>
          <w:color w:val="000000"/>
          <w:sz w:val="20"/>
          <w:lang w:eastAsia="en-US"/>
        </w:rPr>
        <w:t xml:space="preserve">, particularly </w:t>
      </w:r>
      <w:r w:rsidR="00A2092B">
        <w:rPr>
          <w:rFonts w:eastAsia="Cambria" w:cs="Times New Roman"/>
          <w:color w:val="000000"/>
          <w:sz w:val="20"/>
          <w:lang w:eastAsia="en-US"/>
        </w:rPr>
        <w:t>in relation to</w:t>
      </w:r>
      <w:r w:rsidR="00A2092B" w:rsidRPr="007D0AD9">
        <w:rPr>
          <w:rFonts w:eastAsia="Cambria" w:cs="Times New Roman"/>
          <w:color w:val="000000"/>
          <w:sz w:val="20"/>
          <w:lang w:eastAsia="en-US"/>
        </w:rPr>
        <w:t xml:space="preserve"> </w:t>
      </w:r>
      <w:r w:rsidRPr="007D0AD9">
        <w:rPr>
          <w:rFonts w:eastAsia="Cambria" w:cs="Times New Roman"/>
          <w:color w:val="000000"/>
          <w:sz w:val="20"/>
          <w:lang w:eastAsia="en-US"/>
        </w:rPr>
        <w:t xml:space="preserve">continuing professional development. </w:t>
      </w:r>
    </w:p>
    <w:p w:rsidR="00762A8E" w:rsidRPr="007D0AD9" w:rsidRDefault="00762A8E" w:rsidP="00A2092B">
      <w:pPr>
        <w:spacing w:before="207" w:after="207" w:line="207" w:lineRule="atLeast"/>
        <w:ind w:right="207"/>
        <w:jc w:val="left"/>
        <w:rPr>
          <w:rFonts w:eastAsia="Cambria" w:cs="Times New Roman"/>
          <w:color w:val="000000"/>
          <w:sz w:val="20"/>
          <w:lang w:eastAsia="en-US"/>
        </w:rPr>
      </w:pPr>
      <w:r w:rsidRPr="007D0AD9">
        <w:rPr>
          <w:rFonts w:eastAsia="Cambria" w:cs="Times New Roman"/>
          <w:color w:val="000000"/>
          <w:sz w:val="20"/>
          <w:lang w:eastAsia="en-US"/>
        </w:rPr>
        <w:t>Dr Minter has served both the profession and academic institutions in many other capacities including being a member of the N</w:t>
      </w:r>
      <w:r w:rsidR="00247B80">
        <w:rPr>
          <w:rFonts w:eastAsia="Cambria" w:cs="Times New Roman"/>
          <w:color w:val="000000"/>
          <w:sz w:val="20"/>
          <w:lang w:eastAsia="en-US"/>
        </w:rPr>
        <w:t>ew South Wales</w:t>
      </w:r>
      <w:r w:rsidRPr="007D0AD9">
        <w:rPr>
          <w:rFonts w:eastAsia="Cambria" w:cs="Times New Roman"/>
          <w:color w:val="000000"/>
          <w:sz w:val="20"/>
          <w:lang w:eastAsia="en-US"/>
        </w:rPr>
        <w:t xml:space="preserve"> Chiropractors</w:t>
      </w:r>
      <w:r w:rsidR="00247B80">
        <w:rPr>
          <w:rFonts w:eastAsia="Cambria" w:cs="Times New Roman"/>
          <w:color w:val="000000"/>
          <w:sz w:val="20"/>
          <w:lang w:eastAsia="en-US"/>
        </w:rPr>
        <w:t>’</w:t>
      </w:r>
      <w:r w:rsidRPr="007D0AD9">
        <w:rPr>
          <w:rFonts w:eastAsia="Cambria" w:cs="Times New Roman"/>
          <w:color w:val="000000"/>
          <w:sz w:val="20"/>
          <w:lang w:eastAsia="en-US"/>
        </w:rPr>
        <w:t xml:space="preserve"> Registration Board, member of the Chiropractic Council of NSW, adjunct professor at Murdoch University’s School of Chiropractic and Sports Science, and chiropractic adviser to the Australian Government Department of Veterans' Affairs. </w:t>
      </w:r>
    </w:p>
    <w:p w:rsidR="00762A8E" w:rsidRDefault="007D0AD9" w:rsidP="00A2092B">
      <w:pPr>
        <w:pStyle w:val="AHPRASubhead"/>
      </w:pPr>
      <w:r>
        <w:t>AHPRA and National Board</w:t>
      </w:r>
      <w:r w:rsidR="00247B80">
        <w:t>s</w:t>
      </w:r>
      <w:r>
        <w:t xml:space="preserve"> strengthen drug screening</w:t>
      </w:r>
    </w:p>
    <w:p w:rsidR="007D0AD9" w:rsidRPr="00A2292B" w:rsidRDefault="007D0AD9" w:rsidP="00A2092B">
      <w:pPr>
        <w:spacing w:before="193" w:after="193" w:line="193" w:lineRule="atLeast"/>
        <w:ind w:right="193"/>
        <w:jc w:val="left"/>
        <w:rPr>
          <w:rFonts w:eastAsia="Cambria" w:cs="Times New Roman"/>
          <w:color w:val="000000"/>
          <w:sz w:val="20"/>
          <w:lang w:eastAsia="en-US"/>
        </w:rPr>
      </w:pPr>
      <w:r w:rsidRPr="00A2292B">
        <w:rPr>
          <w:rFonts w:eastAsia="Cambria" w:cs="Times New Roman"/>
          <w:color w:val="000000"/>
          <w:sz w:val="20"/>
          <w:lang w:eastAsia="en-US"/>
        </w:rPr>
        <w:t>AHPRA and National Boards </w:t>
      </w:r>
      <w:r>
        <w:rPr>
          <w:rFonts w:eastAsia="Cambria" w:cs="Times New Roman"/>
          <w:color w:val="000000"/>
          <w:sz w:val="20"/>
          <w:lang w:eastAsia="en-US"/>
        </w:rPr>
        <w:t>will</w:t>
      </w:r>
      <w:r w:rsidRPr="00A2292B">
        <w:rPr>
          <w:rFonts w:eastAsia="Cambria" w:cs="Times New Roman"/>
          <w:color w:val="000000"/>
          <w:sz w:val="20"/>
          <w:lang w:eastAsia="en-US"/>
        </w:rPr>
        <w:t xml:space="preserve"> introduce hair testing for all practitioners with substance</w:t>
      </w:r>
      <w:r w:rsidR="00247B80">
        <w:rPr>
          <w:rFonts w:eastAsia="Cambria" w:cs="Times New Roman"/>
          <w:color w:val="000000"/>
          <w:sz w:val="20"/>
          <w:lang w:eastAsia="en-US"/>
        </w:rPr>
        <w:t>-</w:t>
      </w:r>
      <w:r w:rsidRPr="00A2292B">
        <w:rPr>
          <w:rFonts w:eastAsia="Cambria" w:cs="Times New Roman"/>
          <w:color w:val="000000"/>
          <w:sz w:val="20"/>
          <w:lang w:eastAsia="en-US"/>
        </w:rPr>
        <w:t>related impairment.</w:t>
      </w:r>
    </w:p>
    <w:p w:rsidR="007D0AD9" w:rsidRPr="00A2292B" w:rsidRDefault="007D0AD9" w:rsidP="00A2092B">
      <w:pPr>
        <w:spacing w:before="193" w:after="193" w:line="193" w:lineRule="atLeast"/>
        <w:ind w:right="193"/>
        <w:jc w:val="left"/>
        <w:rPr>
          <w:rFonts w:eastAsia="Cambria" w:cs="Times New Roman"/>
          <w:color w:val="000000"/>
          <w:sz w:val="20"/>
          <w:lang w:eastAsia="en-US"/>
        </w:rPr>
      </w:pPr>
      <w:r w:rsidRPr="00A2292B">
        <w:rPr>
          <w:rFonts w:eastAsia="Cambria" w:cs="Times New Roman"/>
          <w:color w:val="000000"/>
          <w:sz w:val="20"/>
          <w:lang w:eastAsia="en-US"/>
        </w:rPr>
        <w:t>Mandatory hair testing will be routine for all registered health practitioners with substance-related impairment, under a screening protocol to be introduced by AHPRA) and the National Boards.</w:t>
      </w:r>
    </w:p>
    <w:p w:rsidR="007D0AD9" w:rsidRPr="00A2292B" w:rsidRDefault="007D0AD9" w:rsidP="00A2092B">
      <w:pPr>
        <w:spacing w:before="193" w:after="193" w:line="193" w:lineRule="atLeast"/>
        <w:ind w:right="193"/>
        <w:jc w:val="left"/>
        <w:rPr>
          <w:rFonts w:eastAsia="Cambria" w:cs="Times New Roman"/>
          <w:color w:val="000000"/>
          <w:sz w:val="20"/>
          <w:lang w:eastAsia="en-US"/>
        </w:rPr>
      </w:pPr>
      <w:r w:rsidRPr="00A2292B">
        <w:rPr>
          <w:rFonts w:eastAsia="Cambria" w:cs="Times New Roman"/>
          <w:color w:val="000000"/>
          <w:sz w:val="20"/>
          <w:lang w:eastAsia="en-US"/>
        </w:rPr>
        <w:t xml:space="preserve">Under the protocol, all health practitioners who have restrictions on their registration linked to past substance abuse will have routine hair testing in addition to urine testing. </w:t>
      </w:r>
    </w:p>
    <w:p w:rsidR="007D0AD9" w:rsidRPr="00A2292B" w:rsidRDefault="007D0AD9" w:rsidP="00A2092B">
      <w:pPr>
        <w:spacing w:before="193" w:after="193" w:line="193" w:lineRule="atLeast"/>
        <w:ind w:right="193"/>
        <w:jc w:val="left"/>
        <w:rPr>
          <w:rFonts w:eastAsia="Cambria" w:cs="Times New Roman"/>
          <w:color w:val="000000"/>
          <w:sz w:val="20"/>
          <w:lang w:eastAsia="en-US"/>
        </w:rPr>
      </w:pPr>
      <w:r w:rsidRPr="00A2292B">
        <w:rPr>
          <w:rFonts w:eastAsia="Cambria" w:cs="Times New Roman"/>
          <w:color w:val="000000"/>
          <w:sz w:val="20"/>
          <w:lang w:eastAsia="en-US"/>
        </w:rPr>
        <w:t xml:space="preserve">Routine hair testing helps provide comprehensive information about the use – over time </w:t>
      </w:r>
      <w:r w:rsidR="00247B80">
        <w:rPr>
          <w:rFonts w:eastAsia="Cambria" w:cs="Times New Roman"/>
          <w:color w:val="000000"/>
          <w:sz w:val="20"/>
          <w:lang w:eastAsia="en-US"/>
        </w:rPr>
        <w:t xml:space="preserve">– of </w:t>
      </w:r>
      <w:r w:rsidRPr="00A2292B">
        <w:rPr>
          <w:rFonts w:eastAsia="Cambria" w:cs="Times New Roman"/>
          <w:color w:val="000000"/>
          <w:sz w:val="20"/>
          <w:lang w:eastAsia="en-US"/>
        </w:rPr>
        <w:t xml:space="preserve">a wide range of drugs (not just based on the practitioner’s drug taking history). </w:t>
      </w:r>
    </w:p>
    <w:p w:rsidR="007D0AD9" w:rsidRPr="00A2292B" w:rsidRDefault="007D0AD9" w:rsidP="00A2092B">
      <w:pPr>
        <w:spacing w:before="193" w:after="193" w:line="193" w:lineRule="atLeast"/>
        <w:ind w:right="193"/>
        <w:jc w:val="left"/>
        <w:rPr>
          <w:rFonts w:eastAsia="Cambria" w:cs="Times New Roman"/>
          <w:color w:val="000000"/>
          <w:sz w:val="20"/>
          <w:lang w:eastAsia="en-US"/>
        </w:rPr>
      </w:pPr>
      <w:r w:rsidRPr="00A2292B">
        <w:rPr>
          <w:rFonts w:eastAsia="Cambria" w:cs="Times New Roman"/>
          <w:color w:val="000000"/>
          <w:sz w:val="20"/>
          <w:lang w:eastAsia="en-US"/>
        </w:rPr>
        <w:t>National Boards will continue to make decisions about individual practitioners with impairment case by case, based on testing standards set out in the protocol. This includes:</w:t>
      </w:r>
    </w:p>
    <w:p w:rsidR="007D0AD9" w:rsidRPr="007D0AD9" w:rsidRDefault="007D0AD9" w:rsidP="00A2092B">
      <w:pPr>
        <w:pStyle w:val="ListParagraph"/>
        <w:numPr>
          <w:ilvl w:val="0"/>
          <w:numId w:val="26"/>
        </w:numPr>
        <w:spacing w:before="193" w:after="193" w:line="193" w:lineRule="atLeast"/>
        <w:ind w:right="193"/>
        <w:rPr>
          <w:color w:val="000000"/>
          <w:sz w:val="20"/>
        </w:rPr>
      </w:pPr>
      <w:r w:rsidRPr="007D0AD9">
        <w:rPr>
          <w:color w:val="000000"/>
          <w:sz w:val="20"/>
        </w:rPr>
        <w:t>nationally consistent threshold limits, so all pathology providers conducting the tests use consistent testing baselines (e.g. will report all positive alcohol readings over 30pg/mg in hair) </w:t>
      </w:r>
    </w:p>
    <w:p w:rsidR="007D0AD9" w:rsidRPr="007D0AD9" w:rsidRDefault="007D0AD9" w:rsidP="00A2092B">
      <w:pPr>
        <w:pStyle w:val="ListParagraph"/>
        <w:numPr>
          <w:ilvl w:val="0"/>
          <w:numId w:val="26"/>
        </w:numPr>
        <w:spacing w:before="193" w:after="193" w:line="193" w:lineRule="atLeast"/>
        <w:ind w:right="193"/>
        <w:rPr>
          <w:color w:val="000000"/>
          <w:sz w:val="20"/>
        </w:rPr>
      </w:pPr>
      <w:r w:rsidRPr="007D0AD9">
        <w:rPr>
          <w:color w:val="000000"/>
          <w:sz w:val="20"/>
        </w:rPr>
        <w:lastRenderedPageBreak/>
        <w:t>agreed ‘critical events’ – in addition to positive test results - requiring action and follow up (e.g. unexplained delayed screening tests or results, failure to attend screening, diluted or unsuitable samples etc</w:t>
      </w:r>
      <w:r w:rsidR="00247B80">
        <w:rPr>
          <w:color w:val="000000"/>
          <w:sz w:val="20"/>
        </w:rPr>
        <w:t>.</w:t>
      </w:r>
      <w:r w:rsidRPr="007D0AD9">
        <w:rPr>
          <w:color w:val="000000"/>
          <w:sz w:val="20"/>
        </w:rPr>
        <w:t>) </w:t>
      </w:r>
    </w:p>
    <w:p w:rsidR="007D0AD9" w:rsidRPr="007D0AD9" w:rsidRDefault="007D0AD9" w:rsidP="00A2092B">
      <w:pPr>
        <w:pStyle w:val="ListParagraph"/>
        <w:numPr>
          <w:ilvl w:val="0"/>
          <w:numId w:val="26"/>
        </w:numPr>
        <w:spacing w:before="193" w:after="193" w:line="193" w:lineRule="atLeast"/>
        <w:ind w:right="193"/>
        <w:rPr>
          <w:color w:val="000000"/>
          <w:sz w:val="20"/>
        </w:rPr>
      </w:pPr>
      <w:proofErr w:type="gramStart"/>
      <w:r w:rsidRPr="007D0AD9">
        <w:rPr>
          <w:color w:val="000000"/>
          <w:sz w:val="20"/>
        </w:rPr>
        <w:t>agreed</w:t>
      </w:r>
      <w:proofErr w:type="gramEnd"/>
      <w:r w:rsidRPr="007D0AD9">
        <w:rPr>
          <w:color w:val="000000"/>
          <w:sz w:val="20"/>
        </w:rPr>
        <w:t xml:space="preserve"> triggers for National Boards to consider disciplinary action (e.g. positive test results, non-compliance with screening requirements etc</w:t>
      </w:r>
      <w:r w:rsidR="00247B80">
        <w:rPr>
          <w:color w:val="000000"/>
          <w:sz w:val="20"/>
        </w:rPr>
        <w:t>.</w:t>
      </w:r>
      <w:r w:rsidRPr="007D0AD9">
        <w:rPr>
          <w:color w:val="000000"/>
          <w:sz w:val="20"/>
        </w:rPr>
        <w:t>)</w:t>
      </w:r>
      <w:r w:rsidR="00247B80">
        <w:rPr>
          <w:color w:val="000000"/>
          <w:sz w:val="20"/>
        </w:rPr>
        <w:t>.</w:t>
      </w:r>
    </w:p>
    <w:p w:rsidR="006F488A" w:rsidRPr="00A7478D" w:rsidRDefault="0015746A" w:rsidP="00A2092B">
      <w:pPr>
        <w:jc w:val="left"/>
        <w:rPr>
          <w:sz w:val="20"/>
          <w:szCs w:val="20"/>
        </w:rPr>
      </w:pPr>
      <w:r w:rsidRPr="00A7478D">
        <w:rPr>
          <w:sz w:val="20"/>
          <w:szCs w:val="20"/>
          <w:lang w:eastAsia="en-US"/>
        </w:rPr>
        <w:t xml:space="preserve">The drug screening protocol is part of a wider, national strategy to effectively manage compliance and monitoring across the National Scheme. The strategy has been progressively implemented from July 2014. </w:t>
      </w:r>
    </w:p>
    <w:p w:rsidR="006F488A" w:rsidRPr="00A7478D" w:rsidRDefault="006F488A" w:rsidP="00A2092B">
      <w:pPr>
        <w:jc w:val="left"/>
        <w:rPr>
          <w:sz w:val="20"/>
          <w:szCs w:val="20"/>
        </w:rPr>
      </w:pPr>
    </w:p>
    <w:p w:rsidR="007D0AD9" w:rsidRPr="00A7478D" w:rsidRDefault="00247B80" w:rsidP="00A2092B">
      <w:pPr>
        <w:jc w:val="left"/>
        <w:rPr>
          <w:sz w:val="20"/>
          <w:szCs w:val="20"/>
        </w:rPr>
      </w:pPr>
      <w:r w:rsidRPr="00A7478D">
        <w:rPr>
          <w:sz w:val="20"/>
          <w:szCs w:val="20"/>
        </w:rPr>
        <w:t xml:space="preserve">More information is available on the </w:t>
      </w:r>
      <w:hyperlink w:history="1">
        <w:r w:rsidRPr="00A7478D">
          <w:rPr>
            <w:rStyle w:val="Hyperlink"/>
            <w:sz w:val="20"/>
            <w:szCs w:val="20"/>
          </w:rPr>
          <w:t>Board’s website</w:t>
        </w:r>
      </w:hyperlink>
      <w:r w:rsidRPr="00A7478D">
        <w:rPr>
          <w:rStyle w:val="Hyperlink"/>
          <w:sz w:val="20"/>
          <w:szCs w:val="20"/>
        </w:rPr>
        <w:t>.</w:t>
      </w:r>
    </w:p>
    <w:p w:rsidR="007D0AD9" w:rsidRDefault="007D0AD9" w:rsidP="00A2092B">
      <w:pPr>
        <w:pStyle w:val="AHPRASubhead"/>
      </w:pPr>
    </w:p>
    <w:p w:rsidR="00DE2EF7" w:rsidRPr="00C643DB" w:rsidRDefault="00DE2EF7" w:rsidP="00A2092B">
      <w:pPr>
        <w:pStyle w:val="AHPRASubhead"/>
      </w:pPr>
      <w:r w:rsidRPr="00C643DB">
        <w:t>Standards compliance audit</w:t>
      </w:r>
    </w:p>
    <w:p w:rsidR="00DE2EF7" w:rsidRDefault="00DE2EF7" w:rsidP="00A2092B">
      <w:pPr>
        <w:pStyle w:val="AHPRAbody"/>
      </w:pPr>
      <w:r w:rsidRPr="00D413F7">
        <w:t xml:space="preserve">All health practitioners registered under the </w:t>
      </w:r>
      <w:r w:rsidR="006A3B91">
        <w:t xml:space="preserve">Health Practitioner Regulation National Law, as in force in each state and territory (the </w:t>
      </w:r>
      <w:r w:rsidRPr="00D413F7">
        <w:t>National Law</w:t>
      </w:r>
      <w:r w:rsidR="006A3B91">
        <w:t xml:space="preserve">), </w:t>
      </w:r>
      <w:r w:rsidRPr="00D413F7">
        <w:t>are required to comply with a range of registration standards</w:t>
      </w:r>
      <w:r w:rsidR="006A3B91">
        <w:t xml:space="preserve">. These standards were </w:t>
      </w:r>
      <w:r w:rsidRPr="00D413F7">
        <w:t xml:space="preserve">developed after wide-ranging consultation and </w:t>
      </w:r>
      <w:r w:rsidR="006A3B91">
        <w:t xml:space="preserve">have been </w:t>
      </w:r>
      <w:r w:rsidRPr="00D413F7">
        <w:t xml:space="preserve">approved by the Australian Health Workforce Ministerial Council. </w:t>
      </w:r>
    </w:p>
    <w:p w:rsidR="00DE2EF7" w:rsidRDefault="00E87C5E" w:rsidP="00A2092B">
      <w:pPr>
        <w:pStyle w:val="AHPRAbody"/>
      </w:pPr>
      <w:r>
        <w:t xml:space="preserve">There are </w:t>
      </w:r>
      <w:r w:rsidR="00A2092B">
        <w:t>three</w:t>
      </w:r>
      <w:r>
        <w:t xml:space="preserve"> standards that practitioners must comply with that are relevant to this audit; </w:t>
      </w:r>
      <w:r w:rsidR="00247B80">
        <w:t>p</w:t>
      </w:r>
      <w:r>
        <w:t xml:space="preserve">rofessional indemnity insurance, </w:t>
      </w:r>
      <w:proofErr w:type="spellStart"/>
      <w:r>
        <w:t>recency</w:t>
      </w:r>
      <w:proofErr w:type="spellEnd"/>
      <w:r>
        <w:t xml:space="preserve"> of practice</w:t>
      </w:r>
      <w:r w:rsidR="00247B80">
        <w:t xml:space="preserve"> and</w:t>
      </w:r>
      <w:r>
        <w:t xml:space="preserve"> continuing professional development</w:t>
      </w:r>
      <w:r w:rsidR="007D0AD9">
        <w:t xml:space="preserve">. </w:t>
      </w:r>
      <w:r w:rsidR="00DE2EF7">
        <w:t>Last year the National Board participated in its second audit of registration standard compliance. In the coming months</w:t>
      </w:r>
      <w:r w:rsidR="006A3B91">
        <w:t xml:space="preserve"> </w:t>
      </w:r>
      <w:r w:rsidR="00DE2EF7">
        <w:t xml:space="preserve">AHPRA will again be randomly </w:t>
      </w:r>
      <w:r w:rsidR="00493F83">
        <w:t>selecting some</w:t>
      </w:r>
      <w:r w:rsidR="00DE2EF7">
        <w:t xml:space="preserve"> chiropractors to undertake an audit of their compliance with the National Board’s registration standards.</w:t>
      </w:r>
    </w:p>
    <w:p w:rsidR="00DE2EF7" w:rsidRDefault="00DE2EF7" w:rsidP="00A2092B">
      <w:pPr>
        <w:pStyle w:val="AHPRAbody"/>
        <w:rPr>
          <w:lang w:val="en-US"/>
        </w:rPr>
      </w:pPr>
      <w:r>
        <w:rPr>
          <w:lang w:val="en-US"/>
        </w:rPr>
        <w:t>An</w:t>
      </w:r>
      <w:r w:rsidRPr="00D413F7">
        <w:rPr>
          <w:lang w:val="en-US"/>
        </w:rPr>
        <w:t xml:space="preserve"> information pack </w:t>
      </w:r>
      <w:r>
        <w:rPr>
          <w:lang w:val="en-US"/>
        </w:rPr>
        <w:t xml:space="preserve">was </w:t>
      </w:r>
      <w:r w:rsidRPr="00D413F7">
        <w:rPr>
          <w:lang w:val="en-US"/>
        </w:rPr>
        <w:t>sent to those selected for the audit</w:t>
      </w:r>
      <w:r>
        <w:rPr>
          <w:lang w:val="en-US"/>
        </w:rPr>
        <w:t>. A</w:t>
      </w:r>
      <w:r w:rsidRPr="00D413F7">
        <w:rPr>
          <w:lang w:val="en-US"/>
        </w:rPr>
        <w:t xml:space="preserve">dditional information </w:t>
      </w:r>
      <w:r>
        <w:rPr>
          <w:lang w:val="en-US"/>
        </w:rPr>
        <w:t xml:space="preserve">is </w:t>
      </w:r>
      <w:r w:rsidRPr="00D413F7">
        <w:rPr>
          <w:lang w:val="en-US"/>
        </w:rPr>
        <w:t xml:space="preserve">available </w:t>
      </w:r>
      <w:r>
        <w:rPr>
          <w:lang w:val="en-US"/>
        </w:rPr>
        <w:t xml:space="preserve">under </w:t>
      </w:r>
      <w:r>
        <w:rPr>
          <w:i/>
          <w:lang w:val="en-US"/>
        </w:rPr>
        <w:t xml:space="preserve">Registration </w:t>
      </w:r>
      <w:r w:rsidRPr="00D413F7">
        <w:rPr>
          <w:lang w:val="en-US"/>
        </w:rPr>
        <w:t>on the AHPRA website</w:t>
      </w:r>
      <w:r w:rsidR="006A3B91">
        <w:rPr>
          <w:lang w:val="en-US"/>
        </w:rPr>
        <w:t xml:space="preserve"> at</w:t>
      </w:r>
      <w:r w:rsidRPr="00D413F7">
        <w:rPr>
          <w:lang w:val="en-US"/>
        </w:rPr>
        <w:t xml:space="preserve"> </w:t>
      </w:r>
      <w:hyperlink r:id="rId8" w:tgtFrame="_blank" w:history="1">
        <w:r w:rsidRPr="00D413F7">
          <w:rPr>
            <w:rStyle w:val="Hyperlink"/>
            <w:szCs w:val="22"/>
            <w:lang w:val="en-US"/>
          </w:rPr>
          <w:t>www.ahpra.gov.au</w:t>
        </w:r>
      </w:hyperlink>
      <w:r w:rsidRPr="00D413F7">
        <w:rPr>
          <w:lang w:val="en-US"/>
        </w:rPr>
        <w:t xml:space="preserve">. </w:t>
      </w:r>
    </w:p>
    <w:p w:rsidR="007D0AD9" w:rsidRDefault="001C7370" w:rsidP="00A2092B">
      <w:pPr>
        <w:pStyle w:val="AHPRASubhead"/>
      </w:pPr>
      <w:r>
        <w:t>International criminal history checks</w:t>
      </w:r>
    </w:p>
    <w:p w:rsidR="007D0AD9" w:rsidRDefault="001C7370" w:rsidP="00A2092B">
      <w:pPr>
        <w:pStyle w:val="AHPRAbody"/>
      </w:pPr>
      <w:r>
        <w:t>AHPRA and the National Boards have now aligned their</w:t>
      </w:r>
      <w:r w:rsidR="007D0AD9">
        <w:t xml:space="preserve"> international criminal history checks with domestic history checks and aims to be fair and reasonable for practitioners. It also provides the Australian community with greater assurance by implementing additional safeguards to manage risks to the public from someone’s international criminal history. </w:t>
      </w:r>
    </w:p>
    <w:p w:rsidR="007D0AD9" w:rsidRDefault="007D0AD9" w:rsidP="00A2092B">
      <w:pPr>
        <w:pStyle w:val="AHPRASubheadinglevel2"/>
      </w:pPr>
      <w:r>
        <w:t>How does it work</w:t>
      </w:r>
      <w:r w:rsidR="006F488A">
        <w:t>?</w:t>
      </w:r>
      <w:r>
        <w:t xml:space="preserve"> </w:t>
      </w:r>
    </w:p>
    <w:p w:rsidR="007D0AD9" w:rsidRPr="00C83219" w:rsidRDefault="007D0AD9" w:rsidP="00A2092B">
      <w:pPr>
        <w:pStyle w:val="AHPRAbody"/>
      </w:pPr>
      <w:r>
        <w:t>T</w:t>
      </w:r>
      <w:r w:rsidRPr="00C83219">
        <w:rPr>
          <w:rStyle w:val="AHPRAbodyChar"/>
        </w:rPr>
        <w:t>he new approach requires</w:t>
      </w:r>
      <w:r>
        <w:t xml:space="preserve"> </w:t>
      </w:r>
      <w:hyperlink r:id="rId9" w:anchor="who" w:history="1">
        <w:r w:rsidRPr="00A2092B">
          <w:rPr>
            <w:rStyle w:val="Hyperlink"/>
            <w:bCs/>
            <w:szCs w:val="20"/>
          </w:rPr>
          <w:t>certain applicants and practitioners</w:t>
        </w:r>
      </w:hyperlink>
      <w:r>
        <w:t xml:space="preserve"> to apply for an </w:t>
      </w:r>
      <w:r w:rsidR="006F488A">
        <w:t>international criminal history check</w:t>
      </w:r>
      <w:r>
        <w:t xml:space="preserve"> from an AHPRA approved supplier. The supplier will provide the international criminal history check report to the applicant and directly to AHPRA.</w:t>
      </w:r>
    </w:p>
    <w:p w:rsidR="007D0AD9" w:rsidRDefault="007D0AD9" w:rsidP="00A2092B">
      <w:pPr>
        <w:pStyle w:val="AHPRAbody"/>
        <w:rPr>
          <w:sz w:val="22"/>
          <w:szCs w:val="22"/>
          <w:lang w:val="en-US"/>
        </w:rPr>
      </w:pPr>
      <w:r>
        <w:rPr>
          <w:lang w:val="en-US"/>
        </w:rPr>
        <w:t xml:space="preserve">Balancing the feedback received during extensive </w:t>
      </w:r>
      <w:hyperlink r:id="rId10" w:history="1">
        <w:r>
          <w:rPr>
            <w:rStyle w:val="Hyperlink"/>
            <w:szCs w:val="20"/>
            <w:lang w:val="en-US"/>
          </w:rPr>
          <w:t>consultations</w:t>
        </w:r>
      </w:hyperlink>
      <w:r>
        <w:rPr>
          <w:lang w:val="en-US"/>
        </w:rPr>
        <w:t xml:space="preserve"> with the requirements and objectives of the National Law, AHPRA and the National Boards will pilot this approach and evaluate its effectiveness after </w:t>
      </w:r>
      <w:r w:rsidR="006F488A">
        <w:rPr>
          <w:lang w:val="en-US"/>
        </w:rPr>
        <w:t>12</w:t>
      </w:r>
      <w:r>
        <w:rPr>
          <w:lang w:val="en-US"/>
        </w:rPr>
        <w:t xml:space="preserve"> months, ensuring that it will:</w:t>
      </w:r>
    </w:p>
    <w:p w:rsidR="007D0AD9" w:rsidRDefault="007D0AD9" w:rsidP="00A2092B">
      <w:pPr>
        <w:pStyle w:val="AHPRABulletlevel1"/>
      </w:pPr>
      <w:r>
        <w:t>not impact on registration fees for applicants not requiring an international criminal history check, and</w:t>
      </w:r>
    </w:p>
    <w:p w:rsidR="007D0AD9" w:rsidRDefault="007D0AD9" w:rsidP="00A2092B">
      <w:pPr>
        <w:pStyle w:val="AHPRABulletlevel1"/>
      </w:pPr>
      <w:proofErr w:type="gramStart"/>
      <w:r>
        <w:t>require</w:t>
      </w:r>
      <w:proofErr w:type="gramEnd"/>
      <w:r>
        <w:t xml:space="preserve"> evidence from applicants who need an international criminal history check that they have applied for the check when they submit their registration application.</w:t>
      </w:r>
    </w:p>
    <w:p w:rsidR="007D0AD9" w:rsidRDefault="007D0AD9" w:rsidP="00A2092B">
      <w:pPr>
        <w:pStyle w:val="AHPRABulletlevel1"/>
        <w:numPr>
          <w:ilvl w:val="0"/>
          <w:numId w:val="0"/>
        </w:numPr>
        <w:ind w:left="369"/>
      </w:pPr>
    </w:p>
    <w:p w:rsidR="007D0AD9" w:rsidRDefault="007D0AD9" w:rsidP="00A2092B">
      <w:pPr>
        <w:pStyle w:val="AHPRAbody"/>
        <w:rPr>
          <w:szCs w:val="20"/>
        </w:rPr>
      </w:pPr>
      <w:r>
        <w:rPr>
          <w:szCs w:val="20"/>
        </w:rPr>
        <w:t>Applicants for registration and registered practitioners will not be granted final registration until the international criminal history report has been considered. The exceptions to the adapted procedure are:</w:t>
      </w:r>
    </w:p>
    <w:p w:rsidR="007D0AD9" w:rsidRDefault="007D0AD9" w:rsidP="00A2092B">
      <w:pPr>
        <w:pStyle w:val="AHPRABulletlevel1"/>
      </w:pPr>
      <w:r>
        <w:t>applications made under the Trans-Tasman Mutual Recognition arrangements, where the National Law is not applicable, and</w:t>
      </w:r>
    </w:p>
    <w:p w:rsidR="007D0AD9" w:rsidRDefault="007D0AD9" w:rsidP="00A2092B">
      <w:pPr>
        <w:pStyle w:val="AHPRABulletlevel1"/>
      </w:pPr>
      <w:proofErr w:type="gramStart"/>
      <w:r>
        <w:t>applications</w:t>
      </w:r>
      <w:proofErr w:type="gramEnd"/>
      <w:r>
        <w:t xml:space="preserve"> where a ‘workforce imperative’ (e.g. would result in an essential health service not being provided) is identified.</w:t>
      </w:r>
    </w:p>
    <w:p w:rsidR="007D0AD9" w:rsidRDefault="007D0AD9" w:rsidP="00A2092B">
      <w:pPr>
        <w:pStyle w:val="Default"/>
        <w:tabs>
          <w:tab w:val="left" w:pos="0"/>
        </w:tabs>
        <w:rPr>
          <w:sz w:val="20"/>
          <w:szCs w:val="20"/>
        </w:rPr>
      </w:pPr>
    </w:p>
    <w:p w:rsidR="007D0AD9" w:rsidRDefault="007D0AD9" w:rsidP="00A2092B">
      <w:pPr>
        <w:pStyle w:val="AHPRAbody"/>
        <w:rPr>
          <w:b/>
        </w:rPr>
      </w:pPr>
      <w:r>
        <w:t>These applications will follow an alternate process, in which the international criminal history report will be considered, after registration has been granted. This is anticipated to be a relatively small, low-risk group of practitioners and this solution will address any specific work-force issues.</w:t>
      </w:r>
    </w:p>
    <w:p w:rsidR="006F488A" w:rsidRDefault="006F488A" w:rsidP="00A2092B">
      <w:pPr>
        <w:pStyle w:val="AHPRAbody"/>
        <w:rPr>
          <w:b/>
        </w:rPr>
      </w:pPr>
      <w:r>
        <w:lastRenderedPageBreak/>
        <w:t xml:space="preserve">More information is available in a </w:t>
      </w:r>
      <w:hyperlink r:id="rId11" w:history="1">
        <w:r w:rsidRPr="006F488A">
          <w:rPr>
            <w:rStyle w:val="Hyperlink"/>
          </w:rPr>
          <w:t>media release</w:t>
        </w:r>
      </w:hyperlink>
      <w:r>
        <w:t xml:space="preserve"> and in the </w:t>
      </w:r>
      <w:r w:rsidRPr="00366471">
        <w:rPr>
          <w:i/>
        </w:rPr>
        <w:t>Registration</w:t>
      </w:r>
      <w:r>
        <w:t xml:space="preserve"> section on the AHPRA website.</w:t>
      </w:r>
    </w:p>
    <w:p w:rsidR="001C7370" w:rsidRPr="00853185" w:rsidRDefault="001C7370" w:rsidP="00A2092B">
      <w:pPr>
        <w:pStyle w:val="AHPRASubhead"/>
      </w:pPr>
      <w:r w:rsidRPr="00853185">
        <w:t xml:space="preserve">Notifications </w:t>
      </w:r>
    </w:p>
    <w:p w:rsidR="001C7370" w:rsidRPr="00853185" w:rsidRDefault="001C7370" w:rsidP="00A2092B">
      <w:pPr>
        <w:pStyle w:val="AHPRAbody"/>
      </w:pPr>
      <w:r w:rsidRPr="00853185">
        <w:t xml:space="preserve">Notifications </w:t>
      </w:r>
      <w:r w:rsidR="0015746A">
        <w:t xml:space="preserve">(concerns or complaints) </w:t>
      </w:r>
      <w:r w:rsidRPr="00853185">
        <w:t xml:space="preserve">can be made about a health practitioner’s </w:t>
      </w:r>
      <w:hyperlink r:id="rId12" w:history="1">
        <w:r w:rsidRPr="00853185">
          <w:rPr>
            <w:rStyle w:val="Hyperlink"/>
          </w:rPr>
          <w:t>health, conduct or performance</w:t>
        </w:r>
      </w:hyperlink>
      <w:r w:rsidRPr="00853185">
        <w:t xml:space="preserve">. </w:t>
      </w:r>
      <w:r w:rsidR="0015746A" w:rsidRPr="0015746A">
        <w:t xml:space="preserve"> </w:t>
      </w:r>
      <w:r w:rsidR="0015746A">
        <w:t xml:space="preserve">Anyone can raise a notification by contacting AHPRA, unless the concern or complaint is about an incident in </w:t>
      </w:r>
      <w:hyperlink r:id="rId13" w:anchor="how" w:history="1">
        <w:r w:rsidR="0015746A" w:rsidRPr="00301F6A">
          <w:rPr>
            <w:rStyle w:val="Hyperlink"/>
          </w:rPr>
          <w:t>New South Wales or Queensland</w:t>
        </w:r>
      </w:hyperlink>
      <w:r w:rsidR="0015746A">
        <w:t>. In NSW the notifications process is managed by the Health Care Complaints Commission (HCCC) and in Queensland, complaints are received by the Office of the Health Ombudsman (OHO).</w:t>
      </w:r>
    </w:p>
    <w:p w:rsidR="001C7370" w:rsidRPr="00853185" w:rsidRDefault="001C7370" w:rsidP="00A2092B">
      <w:pPr>
        <w:pStyle w:val="AHPRAbody"/>
      </w:pPr>
      <w:r w:rsidRPr="00853185">
        <w:t>The powers of the National Boards and AHPRA are set down in the National Law</w:t>
      </w:r>
      <w:r w:rsidR="0015746A">
        <w:rPr>
          <w:rStyle w:val="FootnoteReference"/>
        </w:rPr>
        <w:footnoteReference w:id="2"/>
      </w:r>
      <w:r w:rsidRPr="00853185">
        <w:t xml:space="preserve">. Responding to notifications about the health, conduct or performance of health practitioners is one of the most important parts of our role in the National Scheme. </w:t>
      </w:r>
    </w:p>
    <w:p w:rsidR="001C7370" w:rsidRPr="00853185" w:rsidRDefault="001C7370" w:rsidP="00A2092B">
      <w:pPr>
        <w:pStyle w:val="AHPRAbody"/>
      </w:pPr>
      <w:r w:rsidRPr="00853185">
        <w:t xml:space="preserve">Keeping the public safe is the goal that guides the way we deal with each notification we receive. When we look at notifications, we consider whether the practitioner has failed to meet the standards set by the Board; and consider what needs to happen to make sure that the practitioner is aware of what has gone wrong and learns from this, so the same problem doesn’t happen again. The Boards also consider if they need to limit the practitioner’s registration in some way to keep the public safe. </w:t>
      </w:r>
    </w:p>
    <w:p w:rsidR="001C7370" w:rsidRPr="00853185" w:rsidRDefault="001C7370" w:rsidP="00A2092B">
      <w:pPr>
        <w:pStyle w:val="AHPRAbody"/>
      </w:pPr>
      <w:r w:rsidRPr="00853185">
        <w:t xml:space="preserve">There is a consistent process for managing notifications, but there is no uniform response as every notification is different. The fact that a notification has been made does not automatically affect a practitioner’s ability to practise unless the notification indicates there is </w:t>
      </w:r>
      <w:hyperlink r:id="rId14" w:history="1">
        <w:r w:rsidRPr="00853185">
          <w:rPr>
            <w:rStyle w:val="Hyperlink"/>
          </w:rPr>
          <w:t>a serious risk to public safety</w:t>
        </w:r>
      </w:hyperlink>
      <w:r w:rsidRPr="00853185">
        <w:t>.</w:t>
      </w:r>
    </w:p>
    <w:p w:rsidR="001C7370" w:rsidRPr="006B208C" w:rsidRDefault="001C7370" w:rsidP="00A2092B">
      <w:pPr>
        <w:pStyle w:val="AHPRAbody"/>
      </w:pPr>
      <w:r w:rsidRPr="00853185">
        <w:t xml:space="preserve">Further information on notification outcomes and hearing decisions is available on the </w:t>
      </w:r>
      <w:hyperlink r:id="rId15" w:history="1">
        <w:r w:rsidR="0015746A">
          <w:rPr>
            <w:rStyle w:val="Hyperlink"/>
          </w:rPr>
          <w:t>AHPRA w</w:t>
        </w:r>
        <w:r w:rsidRPr="00853185">
          <w:rPr>
            <w:rStyle w:val="Hyperlink"/>
          </w:rPr>
          <w:t>ebsite</w:t>
        </w:r>
      </w:hyperlink>
      <w:r w:rsidRPr="00853185">
        <w:t>.</w:t>
      </w:r>
    </w:p>
    <w:p w:rsidR="00493F83" w:rsidRPr="00165C37" w:rsidRDefault="00493F83" w:rsidP="00A2092B">
      <w:pPr>
        <w:pStyle w:val="AHPRASubhead"/>
      </w:pPr>
      <w:r w:rsidRPr="00165C37">
        <w:t xml:space="preserve">Conclusion </w:t>
      </w:r>
    </w:p>
    <w:p w:rsidR="00493F83" w:rsidRDefault="00493F83" w:rsidP="00A2092B">
      <w:pPr>
        <w:pStyle w:val="AHPRAbody"/>
      </w:pPr>
      <w:r>
        <w:t xml:space="preserve">The National Board publishes a range of information about registration and the National Board’s expectations of practitioners on its website at </w:t>
      </w:r>
      <w:r>
        <w:rPr>
          <w:color w:val="0000FF"/>
          <w:u w:val="single"/>
        </w:rPr>
        <w:t xml:space="preserve">www.chiropracticboard.gov.au </w:t>
      </w:r>
      <w:r>
        <w:t xml:space="preserve">or </w:t>
      </w:r>
      <w:r>
        <w:rPr>
          <w:color w:val="0000FF"/>
          <w:u w:val="single"/>
        </w:rPr>
        <w:t>www.ahpra.gov.au</w:t>
      </w:r>
      <w:r>
        <w:t xml:space="preserve">. </w:t>
      </w:r>
    </w:p>
    <w:p w:rsidR="00493F83" w:rsidRDefault="00493F83" w:rsidP="00A2092B">
      <w:pPr>
        <w:pStyle w:val="AHPRAbody"/>
      </w:pPr>
      <w:r>
        <w:t xml:space="preserve">For more </w:t>
      </w:r>
      <w:r w:rsidR="0015746A">
        <w:t>information</w:t>
      </w:r>
      <w:r>
        <w:t xml:space="preserve"> or </w:t>
      </w:r>
      <w:r w:rsidR="0015746A">
        <w:t xml:space="preserve">help </w:t>
      </w:r>
      <w:r>
        <w:t xml:space="preserve">with questions about your registration please send an </w:t>
      </w:r>
      <w:hyperlink r:id="rId16" w:anchor="Webenquiryform" w:history="1">
        <w:r>
          <w:rPr>
            <w:rStyle w:val="Hyperlink"/>
          </w:rPr>
          <w:t>online enquiry form</w:t>
        </w:r>
      </w:hyperlink>
      <w:r>
        <w:rPr>
          <w:color w:val="0000FF"/>
          <w:u w:val="single"/>
        </w:rPr>
        <w:t xml:space="preserve"> </w:t>
      </w:r>
      <w:r>
        <w:t xml:space="preserve">or contact AHPRA on 1300 419 495. </w:t>
      </w:r>
    </w:p>
    <w:p w:rsidR="00493F83" w:rsidRDefault="00493F83" w:rsidP="00A2092B">
      <w:pPr>
        <w:pStyle w:val="AHPRAbody"/>
        <w:rPr>
          <w:b/>
          <w:bCs/>
          <w:color w:val="007BC3"/>
          <w:sz w:val="22"/>
        </w:rPr>
      </w:pPr>
    </w:p>
    <w:p w:rsidR="00493F83" w:rsidRDefault="00493F83" w:rsidP="00A2092B">
      <w:pPr>
        <w:pStyle w:val="AHPRASubhead"/>
        <w:spacing w:after="0" w:line="288" w:lineRule="auto"/>
      </w:pPr>
      <w:r>
        <w:t>Dr Wayne Minter</w:t>
      </w:r>
      <w:r w:rsidR="00A2092B">
        <w:t xml:space="preserve"> AM</w:t>
      </w:r>
    </w:p>
    <w:p w:rsidR="00493F83" w:rsidRDefault="00493F83" w:rsidP="00A2092B">
      <w:pPr>
        <w:pStyle w:val="Default"/>
        <w:spacing w:line="288" w:lineRule="auto"/>
        <w:rPr>
          <w:color w:val="auto"/>
          <w:sz w:val="20"/>
        </w:rPr>
      </w:pPr>
      <w:r>
        <w:rPr>
          <w:sz w:val="20"/>
        </w:rPr>
        <w:t xml:space="preserve">Chiropractor </w:t>
      </w:r>
    </w:p>
    <w:p w:rsidR="0015746A" w:rsidRDefault="00493F83" w:rsidP="00A2092B">
      <w:pPr>
        <w:pStyle w:val="Default"/>
        <w:spacing w:line="288" w:lineRule="auto"/>
        <w:rPr>
          <w:sz w:val="20"/>
        </w:rPr>
      </w:pPr>
      <w:r>
        <w:rPr>
          <w:sz w:val="20"/>
        </w:rPr>
        <w:t>Chair</w:t>
      </w:r>
    </w:p>
    <w:p w:rsidR="00493F83" w:rsidRDefault="00493F83" w:rsidP="00A2092B">
      <w:pPr>
        <w:pStyle w:val="Default"/>
        <w:spacing w:line="288" w:lineRule="auto"/>
        <w:rPr>
          <w:color w:val="auto"/>
          <w:sz w:val="20"/>
        </w:rPr>
      </w:pPr>
      <w:r>
        <w:rPr>
          <w:sz w:val="20"/>
        </w:rPr>
        <w:t xml:space="preserve">Chiropractic Board of Australia </w:t>
      </w:r>
    </w:p>
    <w:p w:rsidR="00493F83" w:rsidRDefault="00FF4CFD" w:rsidP="00A2092B">
      <w:pPr>
        <w:pStyle w:val="AHPRAbody"/>
        <w:spacing w:after="0" w:line="288" w:lineRule="auto"/>
        <w:rPr>
          <w:i/>
          <w:iCs/>
        </w:rPr>
      </w:pPr>
      <w:r>
        <w:rPr>
          <w:i/>
          <w:iCs/>
        </w:rPr>
        <w:t>2</w:t>
      </w:r>
      <w:r w:rsidR="00397213">
        <w:rPr>
          <w:i/>
          <w:iCs/>
        </w:rPr>
        <w:t>0 February</w:t>
      </w:r>
      <w:r>
        <w:rPr>
          <w:i/>
          <w:iCs/>
        </w:rPr>
        <w:t xml:space="preserve"> 2015</w:t>
      </w:r>
    </w:p>
    <w:p w:rsidR="00493F83" w:rsidRDefault="00493F83" w:rsidP="00A2092B">
      <w:pPr>
        <w:pStyle w:val="AHPRAbody"/>
        <w:spacing w:after="0" w:line="288" w:lineRule="auto"/>
        <w:rPr>
          <w:i/>
          <w:iCs/>
        </w:rPr>
      </w:pPr>
    </w:p>
    <w:p w:rsidR="00493F83" w:rsidRDefault="00493F83" w:rsidP="00A2092B">
      <w:pPr>
        <w:pStyle w:val="AHPRAbody"/>
        <w:spacing w:after="0" w:line="288" w:lineRule="auto"/>
      </w:pPr>
    </w:p>
    <w:p w:rsidR="00A543CA" w:rsidRDefault="00A543CA" w:rsidP="00A2092B">
      <w:pPr>
        <w:pStyle w:val="AHPRAbody"/>
        <w:spacing w:after="0" w:line="288" w:lineRule="auto"/>
        <w:rPr>
          <w:i/>
          <w:iCs/>
        </w:rPr>
      </w:pPr>
    </w:p>
    <w:p w:rsidR="00A543CA" w:rsidRDefault="00A543CA" w:rsidP="00A2092B">
      <w:pPr>
        <w:pStyle w:val="AHPRAbody"/>
        <w:spacing w:after="0" w:line="288" w:lineRule="auto"/>
      </w:pPr>
    </w:p>
    <w:sectPr w:rsidR="00A543CA" w:rsidSect="00493F83">
      <w:footerReference w:type="default" r:id="rId17"/>
      <w:headerReference w:type="first" r:id="rId18"/>
      <w:footerReference w:type="first" r:id="rId19"/>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54" w:rsidRDefault="00161454" w:rsidP="00162B96">
      <w:r>
        <w:separator/>
      </w:r>
    </w:p>
    <w:p w:rsidR="00161454" w:rsidRDefault="00161454"/>
  </w:endnote>
  <w:endnote w:type="continuationSeparator" w:id="0">
    <w:p w:rsidR="00161454" w:rsidRDefault="00161454" w:rsidP="00162B96">
      <w:r>
        <w:continuationSeparator/>
      </w:r>
    </w:p>
    <w:p w:rsidR="00161454" w:rsidRDefault="00161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2B" w:rsidRDefault="00A2092B" w:rsidP="00B8709C">
    <w:pPr>
      <w:pStyle w:val="AHPRAfooter"/>
      <w:rPr>
        <w:szCs w:val="16"/>
      </w:rPr>
    </w:pPr>
  </w:p>
  <w:p w:rsidR="001C7370" w:rsidRDefault="001C7370" w:rsidP="00B8709C">
    <w:pPr>
      <w:pStyle w:val="AHPRAfooter"/>
      <w:rPr>
        <w:szCs w:val="16"/>
      </w:rPr>
    </w:pPr>
    <w:r>
      <w:rPr>
        <w:szCs w:val="16"/>
      </w:rPr>
      <w:t>Commu</w:t>
    </w:r>
    <w:r w:rsidRPr="00B8709C">
      <w:rPr>
        <w:szCs w:val="16"/>
      </w:rPr>
      <w:t xml:space="preserve">niqué </w:t>
    </w:r>
    <w:r>
      <w:rPr>
        <w:szCs w:val="16"/>
      </w:rPr>
      <w:t xml:space="preserve">/ </w:t>
    </w:r>
    <w:r w:rsidR="0015746A">
      <w:rPr>
        <w:szCs w:val="16"/>
      </w:rPr>
      <w:t>20 February</w:t>
    </w:r>
    <w:r>
      <w:rPr>
        <w:szCs w:val="16"/>
      </w:rPr>
      <w:t xml:space="preserve"> 2015</w:t>
    </w:r>
  </w:p>
  <w:p w:rsidR="001C7370" w:rsidRPr="00B8709C" w:rsidRDefault="007E252C" w:rsidP="00B8709C">
    <w:pPr>
      <w:pStyle w:val="AHPRApagenumber"/>
    </w:pPr>
    <w:sdt>
      <w:sdtPr>
        <w:rPr>
          <w:szCs w:val="16"/>
        </w:rPr>
        <w:id w:val="8374046"/>
        <w:docPartObj>
          <w:docPartGallery w:val="Page Numbers (Top of Page)"/>
          <w:docPartUnique/>
        </w:docPartObj>
      </w:sdtPr>
      <w:sdtEndPr>
        <w:rPr>
          <w:szCs w:val="20"/>
        </w:rPr>
      </w:sdtEndPr>
      <w:sdtContent>
        <w:r w:rsidR="001C7370" w:rsidRPr="000E7E28">
          <w:t xml:space="preserve">Page </w:t>
        </w:r>
        <w:r w:rsidR="00F670F1">
          <w:fldChar w:fldCharType="begin"/>
        </w:r>
        <w:r w:rsidR="0015746A">
          <w:instrText xml:space="preserve"> PAGE </w:instrText>
        </w:r>
        <w:r w:rsidR="00F670F1">
          <w:fldChar w:fldCharType="separate"/>
        </w:r>
        <w:r>
          <w:rPr>
            <w:noProof/>
          </w:rPr>
          <w:t>3</w:t>
        </w:r>
        <w:r w:rsidR="00F670F1">
          <w:rPr>
            <w:noProof/>
          </w:rPr>
          <w:fldChar w:fldCharType="end"/>
        </w:r>
        <w:r w:rsidR="001C7370" w:rsidRPr="000E7E28">
          <w:t xml:space="preserve"> of </w:t>
        </w:r>
        <w:r w:rsidR="00F670F1">
          <w:fldChar w:fldCharType="begin"/>
        </w:r>
        <w:r w:rsidR="0015746A">
          <w:instrText xml:space="preserve"> NUMPAGES  </w:instrText>
        </w:r>
        <w:r w:rsidR="00F670F1">
          <w:fldChar w:fldCharType="separate"/>
        </w:r>
        <w:r>
          <w:rPr>
            <w:noProof/>
          </w:rPr>
          <w:t>3</w:t>
        </w:r>
        <w:r w:rsidR="00F670F1">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70" w:rsidRPr="00E77E23" w:rsidRDefault="001C7370" w:rsidP="00B266A5">
    <w:pPr>
      <w:pStyle w:val="AHPRAfirstpagefooter"/>
    </w:pPr>
    <w:r>
      <w:rPr>
        <w:color w:val="007DC3"/>
      </w:rPr>
      <w:t>Chiropractic</w:t>
    </w:r>
    <w:r w:rsidRPr="00E77E23">
      <w:t xml:space="preserve"> </w:t>
    </w:r>
    <w:r>
      <w:t>Board of Australia</w:t>
    </w:r>
  </w:p>
  <w:p w:rsidR="001C7370" w:rsidRDefault="001C7370"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54" w:rsidRDefault="00161454" w:rsidP="00162B96">
      <w:r>
        <w:separator/>
      </w:r>
    </w:p>
  </w:footnote>
  <w:footnote w:type="continuationSeparator" w:id="0">
    <w:p w:rsidR="00161454" w:rsidRDefault="00161454" w:rsidP="00162B96">
      <w:r>
        <w:continuationSeparator/>
      </w:r>
    </w:p>
    <w:p w:rsidR="00161454" w:rsidRDefault="00161454"/>
  </w:footnote>
  <w:footnote w:type="continuationNotice" w:id="1">
    <w:p w:rsidR="00161454" w:rsidRDefault="00161454"/>
  </w:footnote>
  <w:footnote w:id="2">
    <w:p w:rsidR="0015746A" w:rsidRPr="0015746A" w:rsidRDefault="0015746A">
      <w:pPr>
        <w:pStyle w:val="FootnoteText"/>
        <w:rPr>
          <w:lang w:val="en-AU"/>
        </w:rPr>
      </w:pPr>
      <w:r>
        <w:rPr>
          <w:rStyle w:val="FootnoteReference"/>
        </w:rPr>
        <w:footnoteRef/>
      </w:r>
      <w:r>
        <w:t xml:space="preserve"> </w:t>
      </w:r>
      <w:r>
        <w:rPr>
          <w:lang w:val="en-AU"/>
        </w:rPr>
        <w:t>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70" w:rsidRDefault="001C7370">
    <w:pPr>
      <w:pStyle w:val="Header"/>
    </w:pPr>
    <w:r w:rsidRPr="007364C5">
      <w:rPr>
        <w:noProof/>
      </w:rPr>
      <w:drawing>
        <wp:anchor distT="0" distB="0" distL="114300" distR="114300" simplePos="0" relativeHeight="251659264" behindDoc="0" locked="0" layoutInCell="1" allowOverlap="1">
          <wp:simplePos x="0" y="0"/>
          <wp:positionH relativeFrom="margin">
            <wp:posOffset>4683760</wp:posOffset>
          </wp:positionH>
          <wp:positionV relativeFrom="margin">
            <wp:posOffset>-565150</wp:posOffset>
          </wp:positionV>
          <wp:extent cx="1261110" cy="1320800"/>
          <wp:effectExtent l="0" t="0" r="0"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69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7">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32CEE"/>
    <w:multiLevelType w:val="hybridMultilevel"/>
    <w:tmpl w:val="E0FCAAF4"/>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9">
    <w:nsid w:val="2FB20C81"/>
    <w:multiLevelType w:val="hybridMultilevel"/>
    <w:tmpl w:val="186C57EE"/>
    <w:lvl w:ilvl="0" w:tplc="F91C5DAC">
      <w:start w:val="1"/>
      <w:numFmt w:val="bullet"/>
      <w:lvlText w:val=""/>
      <w:lvlJc w:val="left"/>
      <w:pPr>
        <w:ind w:left="720" w:hanging="360"/>
      </w:pPr>
      <w:rPr>
        <w:rFonts w:ascii="Symbol" w:hAnsi="Symbol"/>
      </w:rPr>
    </w:lvl>
    <w:lvl w:ilvl="1" w:tplc="F4D2DDD0">
      <w:start w:val="1"/>
      <w:numFmt w:val="bullet"/>
      <w:lvlText w:val="o"/>
      <w:lvlJc w:val="left"/>
      <w:pPr>
        <w:ind w:left="1440" w:hanging="360"/>
      </w:pPr>
      <w:rPr>
        <w:rFonts w:ascii="Courier New" w:hAnsi="Courier New"/>
      </w:rPr>
    </w:lvl>
    <w:lvl w:ilvl="2" w:tplc="2614448E">
      <w:start w:val="1"/>
      <w:numFmt w:val="bullet"/>
      <w:lvlText w:val=""/>
      <w:lvlJc w:val="left"/>
      <w:pPr>
        <w:ind w:left="2160" w:hanging="360"/>
      </w:pPr>
      <w:rPr>
        <w:rFonts w:ascii="Wingdings" w:hAnsi="Wingdings"/>
      </w:rPr>
    </w:lvl>
    <w:lvl w:ilvl="3" w:tplc="5F9E833E">
      <w:start w:val="1"/>
      <w:numFmt w:val="bullet"/>
      <w:lvlText w:val=""/>
      <w:lvlJc w:val="left"/>
      <w:pPr>
        <w:ind w:left="2880" w:hanging="360"/>
      </w:pPr>
      <w:rPr>
        <w:rFonts w:ascii="Symbol" w:hAnsi="Symbol"/>
      </w:rPr>
    </w:lvl>
    <w:lvl w:ilvl="4" w:tplc="61A21AB4">
      <w:start w:val="1"/>
      <w:numFmt w:val="bullet"/>
      <w:lvlText w:val="o"/>
      <w:lvlJc w:val="left"/>
      <w:pPr>
        <w:ind w:left="3600" w:hanging="360"/>
      </w:pPr>
      <w:rPr>
        <w:rFonts w:ascii="Courier New" w:hAnsi="Courier New"/>
      </w:rPr>
    </w:lvl>
    <w:lvl w:ilvl="5" w:tplc="EAF67424">
      <w:start w:val="1"/>
      <w:numFmt w:val="bullet"/>
      <w:lvlText w:val=""/>
      <w:lvlJc w:val="left"/>
      <w:pPr>
        <w:ind w:left="4320" w:hanging="360"/>
      </w:pPr>
      <w:rPr>
        <w:rFonts w:ascii="Wingdings" w:hAnsi="Wingdings"/>
      </w:rPr>
    </w:lvl>
    <w:lvl w:ilvl="6" w:tplc="0040E372">
      <w:start w:val="1"/>
      <w:numFmt w:val="bullet"/>
      <w:lvlText w:val=""/>
      <w:lvlJc w:val="left"/>
      <w:pPr>
        <w:ind w:left="5040" w:hanging="360"/>
      </w:pPr>
      <w:rPr>
        <w:rFonts w:ascii="Symbol" w:hAnsi="Symbol"/>
      </w:rPr>
    </w:lvl>
    <w:lvl w:ilvl="7" w:tplc="397CB59A">
      <w:start w:val="1"/>
      <w:numFmt w:val="bullet"/>
      <w:lvlText w:val="o"/>
      <w:lvlJc w:val="left"/>
      <w:pPr>
        <w:ind w:left="5760" w:hanging="360"/>
      </w:pPr>
      <w:rPr>
        <w:rFonts w:ascii="Courier New" w:hAnsi="Courier New"/>
      </w:rPr>
    </w:lvl>
    <w:lvl w:ilvl="8" w:tplc="588A315C">
      <w:start w:val="1"/>
      <w:numFmt w:val="bullet"/>
      <w:lvlText w:val=""/>
      <w:lvlJc w:val="left"/>
      <w:pPr>
        <w:ind w:left="6480" w:hanging="360"/>
      </w:pPr>
      <w:rPr>
        <w:rFonts w:ascii="Wingdings" w:hAnsi="Wingdings"/>
      </w:rPr>
    </w:lvl>
  </w:abstractNum>
  <w:abstractNum w:abstractNumId="10">
    <w:nsid w:val="39505E7F"/>
    <w:multiLevelType w:val="hybridMultilevel"/>
    <w:tmpl w:val="FF68D3AC"/>
    <w:lvl w:ilvl="0" w:tplc="71C8AA6E">
      <w:start w:val="1"/>
      <w:numFmt w:val="bullet"/>
      <w:pStyle w:val="AHPRABulletlevel2"/>
      <w:lvlText w:val=""/>
      <w:lvlJc w:val="left"/>
      <w:pPr>
        <w:ind w:left="720" w:hanging="360"/>
      </w:pPr>
      <w:rPr>
        <w:rFonts w:ascii="Symbol" w:hAnsi="Symbol"/>
      </w:rPr>
    </w:lvl>
    <w:lvl w:ilvl="1" w:tplc="B91C0F30">
      <w:start w:val="1"/>
      <w:numFmt w:val="bullet"/>
      <w:lvlText w:val="o"/>
      <w:lvlJc w:val="left"/>
      <w:pPr>
        <w:ind w:left="1440" w:hanging="360"/>
      </w:pPr>
      <w:rPr>
        <w:rFonts w:ascii="Courier New" w:hAnsi="Courier New"/>
      </w:rPr>
    </w:lvl>
    <w:lvl w:ilvl="2" w:tplc="108630B4">
      <w:start w:val="1"/>
      <w:numFmt w:val="bullet"/>
      <w:lvlText w:val=""/>
      <w:lvlJc w:val="left"/>
      <w:pPr>
        <w:ind w:left="2160" w:hanging="360"/>
      </w:pPr>
      <w:rPr>
        <w:rFonts w:ascii="Wingdings" w:hAnsi="Wingdings"/>
      </w:rPr>
    </w:lvl>
    <w:lvl w:ilvl="3" w:tplc="B20E66B0">
      <w:start w:val="1"/>
      <w:numFmt w:val="bullet"/>
      <w:lvlText w:val=""/>
      <w:lvlJc w:val="left"/>
      <w:pPr>
        <w:ind w:left="2880" w:hanging="360"/>
      </w:pPr>
      <w:rPr>
        <w:rFonts w:ascii="Symbol" w:hAnsi="Symbol"/>
      </w:rPr>
    </w:lvl>
    <w:lvl w:ilvl="4" w:tplc="D8908F94">
      <w:start w:val="1"/>
      <w:numFmt w:val="bullet"/>
      <w:lvlText w:val="o"/>
      <w:lvlJc w:val="left"/>
      <w:pPr>
        <w:ind w:left="3600" w:hanging="360"/>
      </w:pPr>
      <w:rPr>
        <w:rFonts w:ascii="Courier New" w:hAnsi="Courier New"/>
      </w:rPr>
    </w:lvl>
    <w:lvl w:ilvl="5" w:tplc="B78E77CE">
      <w:start w:val="1"/>
      <w:numFmt w:val="bullet"/>
      <w:lvlText w:val=""/>
      <w:lvlJc w:val="left"/>
      <w:pPr>
        <w:ind w:left="4320" w:hanging="360"/>
      </w:pPr>
      <w:rPr>
        <w:rFonts w:ascii="Wingdings" w:hAnsi="Wingdings"/>
      </w:rPr>
    </w:lvl>
    <w:lvl w:ilvl="6" w:tplc="90022944">
      <w:start w:val="1"/>
      <w:numFmt w:val="bullet"/>
      <w:lvlText w:val=""/>
      <w:lvlJc w:val="left"/>
      <w:pPr>
        <w:ind w:left="5040" w:hanging="360"/>
      </w:pPr>
      <w:rPr>
        <w:rFonts w:ascii="Symbol" w:hAnsi="Symbol"/>
      </w:rPr>
    </w:lvl>
    <w:lvl w:ilvl="7" w:tplc="7486A162">
      <w:start w:val="1"/>
      <w:numFmt w:val="bullet"/>
      <w:lvlText w:val="o"/>
      <w:lvlJc w:val="left"/>
      <w:pPr>
        <w:ind w:left="5760" w:hanging="360"/>
      </w:pPr>
      <w:rPr>
        <w:rFonts w:ascii="Courier New" w:hAnsi="Courier New"/>
      </w:rPr>
    </w:lvl>
    <w:lvl w:ilvl="8" w:tplc="B614CD62">
      <w:start w:val="1"/>
      <w:numFmt w:val="bullet"/>
      <w:lvlText w:val=""/>
      <w:lvlJc w:val="left"/>
      <w:pPr>
        <w:ind w:left="6480" w:hanging="360"/>
      </w:pPr>
      <w:rPr>
        <w:rFonts w:ascii="Wingdings" w:hAnsi="Wingdings"/>
      </w:rPr>
    </w:lvl>
  </w:abstractNum>
  <w:abstractNum w:abstractNumId="11">
    <w:nsid w:val="3AA22420"/>
    <w:multiLevelType w:val="hybridMultilevel"/>
    <w:tmpl w:val="01381DD2"/>
    <w:lvl w:ilvl="0" w:tplc="A14EAC2A">
      <w:start w:val="1"/>
      <w:numFmt w:val="decimal"/>
      <w:lvlText w:val="%1."/>
      <w:lvlJc w:val="left"/>
      <w:pPr>
        <w:ind w:left="720" w:hanging="360"/>
      </w:pPr>
    </w:lvl>
    <w:lvl w:ilvl="1" w:tplc="64D0F86A">
      <w:start w:val="1"/>
      <w:numFmt w:val="decimal"/>
      <w:lvlText w:val="%2."/>
      <w:lvlJc w:val="left"/>
      <w:pPr>
        <w:tabs>
          <w:tab w:val="num" w:pos="1440"/>
        </w:tabs>
        <w:ind w:left="1440" w:hanging="360"/>
      </w:pPr>
    </w:lvl>
    <w:lvl w:ilvl="2" w:tplc="A23E9646">
      <w:start w:val="1"/>
      <w:numFmt w:val="decimal"/>
      <w:lvlText w:val="%3."/>
      <w:lvlJc w:val="left"/>
      <w:pPr>
        <w:tabs>
          <w:tab w:val="num" w:pos="2160"/>
        </w:tabs>
        <w:ind w:left="2160" w:hanging="360"/>
      </w:pPr>
    </w:lvl>
    <w:lvl w:ilvl="3" w:tplc="9E6AED02">
      <w:start w:val="1"/>
      <w:numFmt w:val="decimal"/>
      <w:lvlText w:val="%4."/>
      <w:lvlJc w:val="left"/>
      <w:pPr>
        <w:tabs>
          <w:tab w:val="num" w:pos="2880"/>
        </w:tabs>
        <w:ind w:left="2880" w:hanging="360"/>
      </w:pPr>
    </w:lvl>
    <w:lvl w:ilvl="4" w:tplc="26805564">
      <w:start w:val="1"/>
      <w:numFmt w:val="decimal"/>
      <w:lvlText w:val="%5."/>
      <w:lvlJc w:val="left"/>
      <w:pPr>
        <w:tabs>
          <w:tab w:val="num" w:pos="3600"/>
        </w:tabs>
        <w:ind w:left="3600" w:hanging="360"/>
      </w:pPr>
    </w:lvl>
    <w:lvl w:ilvl="5" w:tplc="632268F2">
      <w:start w:val="1"/>
      <w:numFmt w:val="decimal"/>
      <w:lvlText w:val="%6."/>
      <w:lvlJc w:val="left"/>
      <w:pPr>
        <w:tabs>
          <w:tab w:val="num" w:pos="4320"/>
        </w:tabs>
        <w:ind w:left="4320" w:hanging="360"/>
      </w:pPr>
    </w:lvl>
    <w:lvl w:ilvl="6" w:tplc="A8706F46">
      <w:start w:val="1"/>
      <w:numFmt w:val="decimal"/>
      <w:lvlText w:val="%7."/>
      <w:lvlJc w:val="left"/>
      <w:pPr>
        <w:tabs>
          <w:tab w:val="num" w:pos="5040"/>
        </w:tabs>
        <w:ind w:left="5040" w:hanging="360"/>
      </w:pPr>
    </w:lvl>
    <w:lvl w:ilvl="7" w:tplc="6D3C0D6C">
      <w:start w:val="1"/>
      <w:numFmt w:val="decimal"/>
      <w:lvlText w:val="%8."/>
      <w:lvlJc w:val="left"/>
      <w:pPr>
        <w:tabs>
          <w:tab w:val="num" w:pos="5760"/>
        </w:tabs>
        <w:ind w:left="5760" w:hanging="360"/>
      </w:pPr>
    </w:lvl>
    <w:lvl w:ilvl="8" w:tplc="5FB05DE2">
      <w:start w:val="1"/>
      <w:numFmt w:val="decimal"/>
      <w:lvlText w:val="%9."/>
      <w:lvlJc w:val="left"/>
      <w:pPr>
        <w:tabs>
          <w:tab w:val="num" w:pos="6480"/>
        </w:tabs>
        <w:ind w:left="6480" w:hanging="360"/>
      </w:pPr>
    </w:lvl>
  </w:abstractNum>
  <w:abstractNum w:abstractNumId="12">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3">
    <w:nsid w:val="3D0F3755"/>
    <w:multiLevelType w:val="hybridMultilevel"/>
    <w:tmpl w:val="452C033E"/>
    <w:lvl w:ilvl="0" w:tplc="B5CA73B6">
      <w:start w:val="1"/>
      <w:numFmt w:val="decimal"/>
      <w:lvlText w:val="%1."/>
      <w:lvlJc w:val="left"/>
      <w:pPr>
        <w:ind w:left="720" w:hanging="360"/>
      </w:pPr>
    </w:lvl>
    <w:lvl w:ilvl="1" w:tplc="91B8A8A8">
      <w:start w:val="1"/>
      <w:numFmt w:val="lowerLetter"/>
      <w:lvlText w:val="%2."/>
      <w:lvlJc w:val="left"/>
      <w:pPr>
        <w:ind w:left="1440" w:hanging="360"/>
      </w:pPr>
    </w:lvl>
    <w:lvl w:ilvl="2" w:tplc="9E9E7AE8">
      <w:start w:val="1"/>
      <w:numFmt w:val="lowerRoman"/>
      <w:lvlText w:val="%3."/>
      <w:lvlJc w:val="right"/>
      <w:pPr>
        <w:ind w:left="2160" w:hanging="180"/>
      </w:pPr>
    </w:lvl>
    <w:lvl w:ilvl="3" w:tplc="94AACD6A">
      <w:start w:val="1"/>
      <w:numFmt w:val="decimal"/>
      <w:lvlText w:val="%4."/>
      <w:lvlJc w:val="left"/>
      <w:pPr>
        <w:ind w:left="2880" w:hanging="360"/>
      </w:pPr>
    </w:lvl>
    <w:lvl w:ilvl="4" w:tplc="ECDC64D4">
      <w:start w:val="1"/>
      <w:numFmt w:val="lowerLetter"/>
      <w:lvlText w:val="%5."/>
      <w:lvlJc w:val="left"/>
      <w:pPr>
        <w:ind w:left="3600" w:hanging="360"/>
      </w:pPr>
    </w:lvl>
    <w:lvl w:ilvl="5" w:tplc="738E7E0C">
      <w:start w:val="1"/>
      <w:numFmt w:val="lowerRoman"/>
      <w:lvlText w:val="%6."/>
      <w:lvlJc w:val="right"/>
      <w:pPr>
        <w:ind w:left="4320" w:hanging="180"/>
      </w:pPr>
    </w:lvl>
    <w:lvl w:ilvl="6" w:tplc="2AAEC670">
      <w:start w:val="1"/>
      <w:numFmt w:val="decimal"/>
      <w:lvlText w:val="%7."/>
      <w:lvlJc w:val="left"/>
      <w:pPr>
        <w:ind w:left="5040" w:hanging="360"/>
      </w:pPr>
    </w:lvl>
    <w:lvl w:ilvl="7" w:tplc="2BACAE0C">
      <w:start w:val="1"/>
      <w:numFmt w:val="lowerLetter"/>
      <w:lvlText w:val="%8."/>
      <w:lvlJc w:val="left"/>
      <w:pPr>
        <w:ind w:left="5760" w:hanging="360"/>
      </w:pPr>
    </w:lvl>
    <w:lvl w:ilvl="8" w:tplc="918AEDD4">
      <w:start w:val="1"/>
      <w:numFmt w:val="lowerRoman"/>
      <w:lvlText w:val="%9."/>
      <w:lvlJc w:val="right"/>
      <w:pPr>
        <w:ind w:left="6480" w:hanging="180"/>
      </w:pPr>
    </w:lvl>
  </w:abstractNum>
  <w:abstractNum w:abstractNumId="14">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E61B9"/>
    <w:multiLevelType w:val="hybridMultilevel"/>
    <w:tmpl w:val="D0A86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nsid w:val="43427B44"/>
    <w:multiLevelType w:val="hybridMultilevel"/>
    <w:tmpl w:val="6AC81082"/>
    <w:lvl w:ilvl="0" w:tplc="BD7AA716">
      <w:start w:val="1"/>
      <w:numFmt w:val="bullet"/>
      <w:lvlText w:val=""/>
      <w:lvlJc w:val="left"/>
      <w:pPr>
        <w:ind w:left="720" w:hanging="360"/>
      </w:pPr>
      <w:rPr>
        <w:rFonts w:ascii="Symbol" w:hAnsi="Symbol"/>
      </w:rPr>
    </w:lvl>
    <w:lvl w:ilvl="1" w:tplc="8258D632">
      <w:start w:val="1"/>
      <w:numFmt w:val="bullet"/>
      <w:lvlText w:val="o"/>
      <w:lvlJc w:val="left"/>
      <w:pPr>
        <w:ind w:left="1440" w:hanging="360"/>
      </w:pPr>
      <w:rPr>
        <w:rFonts w:ascii="Courier New" w:hAnsi="Courier New"/>
      </w:rPr>
    </w:lvl>
    <w:lvl w:ilvl="2" w:tplc="E236E636">
      <w:start w:val="1"/>
      <w:numFmt w:val="bullet"/>
      <w:lvlText w:val=""/>
      <w:lvlJc w:val="left"/>
      <w:pPr>
        <w:ind w:left="2160" w:hanging="360"/>
      </w:pPr>
      <w:rPr>
        <w:rFonts w:ascii="Wingdings" w:hAnsi="Wingdings"/>
      </w:rPr>
    </w:lvl>
    <w:lvl w:ilvl="3" w:tplc="6A0E102C">
      <w:start w:val="1"/>
      <w:numFmt w:val="bullet"/>
      <w:lvlText w:val=""/>
      <w:lvlJc w:val="left"/>
      <w:pPr>
        <w:ind w:left="2880" w:hanging="360"/>
      </w:pPr>
      <w:rPr>
        <w:rFonts w:ascii="Symbol" w:hAnsi="Symbol"/>
      </w:rPr>
    </w:lvl>
    <w:lvl w:ilvl="4" w:tplc="DA80F8C0">
      <w:start w:val="1"/>
      <w:numFmt w:val="bullet"/>
      <w:lvlText w:val="o"/>
      <w:lvlJc w:val="left"/>
      <w:pPr>
        <w:ind w:left="3600" w:hanging="360"/>
      </w:pPr>
      <w:rPr>
        <w:rFonts w:ascii="Courier New" w:hAnsi="Courier New"/>
      </w:rPr>
    </w:lvl>
    <w:lvl w:ilvl="5" w:tplc="A63A9FE4">
      <w:start w:val="1"/>
      <w:numFmt w:val="bullet"/>
      <w:lvlText w:val=""/>
      <w:lvlJc w:val="left"/>
      <w:pPr>
        <w:ind w:left="4320" w:hanging="360"/>
      </w:pPr>
      <w:rPr>
        <w:rFonts w:ascii="Wingdings" w:hAnsi="Wingdings"/>
      </w:rPr>
    </w:lvl>
    <w:lvl w:ilvl="6" w:tplc="81121F84">
      <w:start w:val="1"/>
      <w:numFmt w:val="bullet"/>
      <w:lvlText w:val=""/>
      <w:lvlJc w:val="left"/>
      <w:pPr>
        <w:ind w:left="5040" w:hanging="360"/>
      </w:pPr>
      <w:rPr>
        <w:rFonts w:ascii="Symbol" w:hAnsi="Symbol"/>
      </w:rPr>
    </w:lvl>
    <w:lvl w:ilvl="7" w:tplc="72E8BBEE">
      <w:start w:val="1"/>
      <w:numFmt w:val="bullet"/>
      <w:lvlText w:val="o"/>
      <w:lvlJc w:val="left"/>
      <w:pPr>
        <w:ind w:left="5760" w:hanging="360"/>
      </w:pPr>
      <w:rPr>
        <w:rFonts w:ascii="Courier New" w:hAnsi="Courier New"/>
      </w:rPr>
    </w:lvl>
    <w:lvl w:ilvl="8" w:tplc="2B081F26">
      <w:start w:val="1"/>
      <w:numFmt w:val="bullet"/>
      <w:lvlText w:val=""/>
      <w:lvlJc w:val="left"/>
      <w:pPr>
        <w:ind w:left="6480" w:hanging="360"/>
      </w:pPr>
      <w:rPr>
        <w:rFonts w:ascii="Wingdings" w:hAnsi="Wingdings"/>
      </w:rPr>
    </w:lvl>
  </w:abstractNum>
  <w:abstractNum w:abstractNumId="17">
    <w:nsid w:val="57D60297"/>
    <w:multiLevelType w:val="hybridMultilevel"/>
    <w:tmpl w:val="F85A1D68"/>
    <w:lvl w:ilvl="0" w:tplc="BBCC2522">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8">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2C2B3C"/>
    <w:multiLevelType w:val="hybridMultilevel"/>
    <w:tmpl w:val="9894F35E"/>
    <w:lvl w:ilvl="0" w:tplc="6DBC3ADE">
      <w:start w:val="1"/>
      <w:numFmt w:val="bullet"/>
      <w:lvlText w:val=""/>
      <w:lvlJc w:val="left"/>
      <w:pPr>
        <w:ind w:left="720" w:hanging="360"/>
      </w:pPr>
      <w:rPr>
        <w:rFonts w:ascii="Symbol" w:hAnsi="Symbol" w:hint="default"/>
      </w:rPr>
    </w:lvl>
    <w:lvl w:ilvl="1" w:tplc="E746055E" w:tentative="1">
      <w:start w:val="1"/>
      <w:numFmt w:val="bullet"/>
      <w:lvlText w:val="o"/>
      <w:lvlJc w:val="left"/>
      <w:pPr>
        <w:ind w:left="1440" w:hanging="360"/>
      </w:pPr>
      <w:rPr>
        <w:rFonts w:ascii="Courier New" w:hAnsi="Courier New" w:cs="Courier New" w:hint="default"/>
      </w:rPr>
    </w:lvl>
    <w:lvl w:ilvl="2" w:tplc="48BA7F8C" w:tentative="1">
      <w:start w:val="1"/>
      <w:numFmt w:val="bullet"/>
      <w:lvlText w:val=""/>
      <w:lvlJc w:val="left"/>
      <w:pPr>
        <w:ind w:left="2160" w:hanging="360"/>
      </w:pPr>
      <w:rPr>
        <w:rFonts w:ascii="Wingdings" w:hAnsi="Wingdings" w:hint="default"/>
      </w:rPr>
    </w:lvl>
    <w:lvl w:ilvl="3" w:tplc="9E2452FE" w:tentative="1">
      <w:start w:val="1"/>
      <w:numFmt w:val="bullet"/>
      <w:lvlText w:val=""/>
      <w:lvlJc w:val="left"/>
      <w:pPr>
        <w:ind w:left="2880" w:hanging="360"/>
      </w:pPr>
      <w:rPr>
        <w:rFonts w:ascii="Symbol" w:hAnsi="Symbol" w:hint="default"/>
      </w:rPr>
    </w:lvl>
    <w:lvl w:ilvl="4" w:tplc="4F6C6A8A" w:tentative="1">
      <w:start w:val="1"/>
      <w:numFmt w:val="bullet"/>
      <w:lvlText w:val="o"/>
      <w:lvlJc w:val="left"/>
      <w:pPr>
        <w:ind w:left="3600" w:hanging="360"/>
      </w:pPr>
      <w:rPr>
        <w:rFonts w:ascii="Courier New" w:hAnsi="Courier New" w:cs="Courier New" w:hint="default"/>
      </w:rPr>
    </w:lvl>
    <w:lvl w:ilvl="5" w:tplc="BB1CA658" w:tentative="1">
      <w:start w:val="1"/>
      <w:numFmt w:val="bullet"/>
      <w:lvlText w:val=""/>
      <w:lvlJc w:val="left"/>
      <w:pPr>
        <w:ind w:left="4320" w:hanging="360"/>
      </w:pPr>
      <w:rPr>
        <w:rFonts w:ascii="Wingdings" w:hAnsi="Wingdings" w:hint="default"/>
      </w:rPr>
    </w:lvl>
    <w:lvl w:ilvl="6" w:tplc="26D627AE" w:tentative="1">
      <w:start w:val="1"/>
      <w:numFmt w:val="bullet"/>
      <w:lvlText w:val=""/>
      <w:lvlJc w:val="left"/>
      <w:pPr>
        <w:ind w:left="5040" w:hanging="360"/>
      </w:pPr>
      <w:rPr>
        <w:rFonts w:ascii="Symbol" w:hAnsi="Symbol" w:hint="default"/>
      </w:rPr>
    </w:lvl>
    <w:lvl w:ilvl="7" w:tplc="BE5EB21C" w:tentative="1">
      <w:start w:val="1"/>
      <w:numFmt w:val="bullet"/>
      <w:lvlText w:val="o"/>
      <w:lvlJc w:val="left"/>
      <w:pPr>
        <w:ind w:left="5760" w:hanging="360"/>
      </w:pPr>
      <w:rPr>
        <w:rFonts w:ascii="Courier New" w:hAnsi="Courier New" w:cs="Courier New" w:hint="default"/>
      </w:rPr>
    </w:lvl>
    <w:lvl w:ilvl="8" w:tplc="6854F1C6" w:tentative="1">
      <w:start w:val="1"/>
      <w:numFmt w:val="bullet"/>
      <w:lvlText w:val=""/>
      <w:lvlJc w:val="left"/>
      <w:pPr>
        <w:ind w:left="6480" w:hanging="360"/>
      </w:pPr>
      <w:rPr>
        <w:rFonts w:ascii="Wingdings" w:hAnsi="Wingdings" w:hint="default"/>
      </w:rPr>
    </w:lvl>
  </w:abstractNum>
  <w:abstractNum w:abstractNumId="22">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3">
    <w:nsid w:val="6D912C21"/>
    <w:multiLevelType w:val="hybridMultilevel"/>
    <w:tmpl w:val="0826E3DA"/>
    <w:lvl w:ilvl="0" w:tplc="2F4CE860">
      <w:start w:val="1"/>
      <w:numFmt w:val="decimal"/>
      <w:lvlText w:val="%1."/>
      <w:lvlJc w:val="left"/>
      <w:pPr>
        <w:ind w:left="720" w:hanging="360"/>
      </w:pPr>
    </w:lvl>
    <w:lvl w:ilvl="1" w:tplc="2A28967E">
      <w:start w:val="1"/>
      <w:numFmt w:val="lowerLetter"/>
      <w:lvlText w:val="%2."/>
      <w:lvlJc w:val="left"/>
      <w:pPr>
        <w:ind w:left="1440" w:hanging="360"/>
      </w:pPr>
    </w:lvl>
    <w:lvl w:ilvl="2" w:tplc="08D0901C">
      <w:start w:val="1"/>
      <w:numFmt w:val="lowerRoman"/>
      <w:lvlText w:val="%3."/>
      <w:lvlJc w:val="right"/>
      <w:pPr>
        <w:ind w:left="2160" w:hanging="180"/>
      </w:pPr>
    </w:lvl>
    <w:lvl w:ilvl="3" w:tplc="1CC62538">
      <w:start w:val="1"/>
      <w:numFmt w:val="decimal"/>
      <w:lvlText w:val="%4."/>
      <w:lvlJc w:val="left"/>
      <w:pPr>
        <w:ind w:left="2880" w:hanging="360"/>
      </w:pPr>
    </w:lvl>
    <w:lvl w:ilvl="4" w:tplc="45F067F0">
      <w:start w:val="1"/>
      <w:numFmt w:val="lowerLetter"/>
      <w:lvlText w:val="%5."/>
      <w:lvlJc w:val="left"/>
      <w:pPr>
        <w:ind w:left="3600" w:hanging="360"/>
      </w:pPr>
    </w:lvl>
    <w:lvl w:ilvl="5" w:tplc="D3A89018">
      <w:start w:val="1"/>
      <w:numFmt w:val="lowerRoman"/>
      <w:lvlText w:val="%6."/>
      <w:lvlJc w:val="right"/>
      <w:pPr>
        <w:ind w:left="4320" w:hanging="180"/>
      </w:pPr>
    </w:lvl>
    <w:lvl w:ilvl="6" w:tplc="75F6BBA8">
      <w:start w:val="1"/>
      <w:numFmt w:val="decimal"/>
      <w:lvlText w:val="%7."/>
      <w:lvlJc w:val="left"/>
      <w:pPr>
        <w:ind w:left="5040" w:hanging="360"/>
      </w:pPr>
    </w:lvl>
    <w:lvl w:ilvl="7" w:tplc="A6DCE4AE">
      <w:start w:val="1"/>
      <w:numFmt w:val="lowerLetter"/>
      <w:lvlText w:val="%8."/>
      <w:lvlJc w:val="left"/>
      <w:pPr>
        <w:ind w:left="5760" w:hanging="360"/>
      </w:pPr>
    </w:lvl>
    <w:lvl w:ilvl="8" w:tplc="A0D22C14">
      <w:start w:val="1"/>
      <w:numFmt w:val="lowerRoman"/>
      <w:lvlText w:val="%9."/>
      <w:lvlJc w:val="right"/>
      <w:pPr>
        <w:ind w:left="6480" w:hanging="180"/>
      </w:pPr>
    </w:lvl>
  </w:abstractNum>
  <w:abstractNum w:abstractNumId="24">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134858"/>
    <w:multiLevelType w:val="hybridMultilevel"/>
    <w:tmpl w:val="C96835DA"/>
    <w:lvl w:ilvl="0" w:tplc="B866AD1C">
      <w:start w:val="1"/>
      <w:numFmt w:val="bullet"/>
      <w:pStyle w:val="AHPRABulletlevel3"/>
      <w:lvlText w:val="o"/>
      <w:lvlJc w:val="left"/>
      <w:pPr>
        <w:ind w:left="1440" w:hanging="360"/>
      </w:pPr>
      <w:rPr>
        <w:rFonts w:ascii="Courier New" w:hAnsi="Courier New"/>
      </w:rPr>
    </w:lvl>
    <w:lvl w:ilvl="1" w:tplc="B6929AB0">
      <w:start w:val="1"/>
      <w:numFmt w:val="bullet"/>
      <w:lvlText w:val="o"/>
      <w:lvlJc w:val="left"/>
      <w:pPr>
        <w:ind w:left="2160" w:hanging="360"/>
      </w:pPr>
      <w:rPr>
        <w:rFonts w:ascii="Courier New" w:hAnsi="Courier New"/>
      </w:rPr>
    </w:lvl>
    <w:lvl w:ilvl="2" w:tplc="B6D0F85E">
      <w:start w:val="1"/>
      <w:numFmt w:val="bullet"/>
      <w:lvlText w:val=""/>
      <w:lvlJc w:val="left"/>
      <w:pPr>
        <w:ind w:left="2880" w:hanging="360"/>
      </w:pPr>
      <w:rPr>
        <w:rFonts w:ascii="Wingdings" w:hAnsi="Wingdings"/>
      </w:rPr>
    </w:lvl>
    <w:lvl w:ilvl="3" w:tplc="D6703CA2">
      <w:start w:val="1"/>
      <w:numFmt w:val="bullet"/>
      <w:lvlText w:val=""/>
      <w:lvlJc w:val="left"/>
      <w:pPr>
        <w:ind w:left="3600" w:hanging="360"/>
      </w:pPr>
      <w:rPr>
        <w:rFonts w:ascii="Symbol" w:hAnsi="Symbol"/>
      </w:rPr>
    </w:lvl>
    <w:lvl w:ilvl="4" w:tplc="6C94CFC2">
      <w:start w:val="1"/>
      <w:numFmt w:val="bullet"/>
      <w:lvlText w:val="o"/>
      <w:lvlJc w:val="left"/>
      <w:pPr>
        <w:ind w:left="4320" w:hanging="360"/>
      </w:pPr>
      <w:rPr>
        <w:rFonts w:ascii="Courier New" w:hAnsi="Courier New"/>
      </w:rPr>
    </w:lvl>
    <w:lvl w:ilvl="5" w:tplc="EE667F84">
      <w:start w:val="1"/>
      <w:numFmt w:val="bullet"/>
      <w:lvlText w:val=""/>
      <w:lvlJc w:val="left"/>
      <w:pPr>
        <w:ind w:left="5040" w:hanging="360"/>
      </w:pPr>
      <w:rPr>
        <w:rFonts w:ascii="Wingdings" w:hAnsi="Wingdings"/>
      </w:rPr>
    </w:lvl>
    <w:lvl w:ilvl="6" w:tplc="5E36AC1A">
      <w:start w:val="1"/>
      <w:numFmt w:val="bullet"/>
      <w:lvlText w:val=""/>
      <w:lvlJc w:val="left"/>
      <w:pPr>
        <w:ind w:left="5760" w:hanging="360"/>
      </w:pPr>
      <w:rPr>
        <w:rFonts w:ascii="Symbol" w:hAnsi="Symbol"/>
      </w:rPr>
    </w:lvl>
    <w:lvl w:ilvl="7" w:tplc="F7AC2FD0">
      <w:start w:val="1"/>
      <w:numFmt w:val="bullet"/>
      <w:lvlText w:val="o"/>
      <w:lvlJc w:val="left"/>
      <w:pPr>
        <w:ind w:left="6480" w:hanging="360"/>
      </w:pPr>
      <w:rPr>
        <w:rFonts w:ascii="Courier New" w:hAnsi="Courier New"/>
      </w:rPr>
    </w:lvl>
    <w:lvl w:ilvl="8" w:tplc="C24A0C02">
      <w:start w:val="1"/>
      <w:numFmt w:val="bullet"/>
      <w:lvlText w:val=""/>
      <w:lvlJc w:val="left"/>
      <w:pPr>
        <w:ind w:left="7200" w:hanging="360"/>
      </w:pPr>
      <w:rPr>
        <w:rFonts w:ascii="Wingdings" w:hAnsi="Wingdings"/>
      </w:rPr>
    </w:lvl>
  </w:abstractNum>
  <w:abstractNum w:abstractNumId="26">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7">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
  </w:num>
  <w:num w:numId="3">
    <w:abstractNumId w:val="6"/>
  </w:num>
  <w:num w:numId="4">
    <w:abstractNumId w:val="12"/>
  </w:num>
  <w:num w:numId="5">
    <w:abstractNumId w:val="5"/>
  </w:num>
  <w:num w:numId="6">
    <w:abstractNumId w:val="1"/>
  </w:num>
  <w:num w:numId="7">
    <w:abstractNumId w:val="20"/>
  </w:num>
  <w:num w:numId="8">
    <w:abstractNumId w:val="3"/>
  </w:num>
  <w:num w:numId="9">
    <w:abstractNumId w:val="10"/>
  </w:num>
  <w:num w:numId="10">
    <w:abstractNumId w:val="7"/>
  </w:num>
  <w:num w:numId="11">
    <w:abstractNumId w:val="18"/>
  </w:num>
  <w:num w:numId="12">
    <w:abstractNumId w:val="27"/>
  </w:num>
  <w:num w:numId="13">
    <w:abstractNumId w:val="24"/>
  </w:num>
  <w:num w:numId="14">
    <w:abstractNumId w:val="26"/>
  </w:num>
  <w:num w:numId="15">
    <w:abstractNumId w:val="22"/>
  </w:num>
  <w:num w:numId="16">
    <w:abstractNumId w:val="17"/>
  </w:num>
  <w:num w:numId="17">
    <w:abstractNumId w:val="13"/>
  </w:num>
  <w:num w:numId="18">
    <w:abstractNumId w:val="23"/>
  </w:num>
  <w:num w:numId="19">
    <w:abstractNumId w:val="0"/>
  </w:num>
  <w:num w:numId="20">
    <w:abstractNumId w:val="9"/>
  </w:num>
  <w:num w:numId="21">
    <w:abstractNumId w:val="11"/>
  </w:num>
  <w:num w:numId="22">
    <w:abstractNumId w:val="16"/>
  </w:num>
  <w:num w:numId="23">
    <w:abstractNumId w:val="8"/>
  </w:num>
  <w:num w:numId="24">
    <w:abstractNumId w:val="19"/>
  </w:num>
  <w:num w:numId="25">
    <w:abstractNumId w:val="14"/>
  </w:num>
  <w:num w:numId="26">
    <w:abstractNumId w:val="21"/>
  </w:num>
  <w:num w:numId="27">
    <w:abstractNumId w:val="2"/>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6E80"/>
    <w:rsid w:val="000268FF"/>
    <w:rsid w:val="00026A4C"/>
    <w:rsid w:val="000277CD"/>
    <w:rsid w:val="00061377"/>
    <w:rsid w:val="00080839"/>
    <w:rsid w:val="0009292B"/>
    <w:rsid w:val="000A0248"/>
    <w:rsid w:val="000B0C14"/>
    <w:rsid w:val="000D5094"/>
    <w:rsid w:val="000D56D8"/>
    <w:rsid w:val="000E0D9D"/>
    <w:rsid w:val="000E2ADB"/>
    <w:rsid w:val="000F03C7"/>
    <w:rsid w:val="000F6140"/>
    <w:rsid w:val="00112843"/>
    <w:rsid w:val="00122088"/>
    <w:rsid w:val="001264DD"/>
    <w:rsid w:val="00133E1C"/>
    <w:rsid w:val="00156F27"/>
    <w:rsid w:val="0015746A"/>
    <w:rsid w:val="001606CA"/>
    <w:rsid w:val="00161454"/>
    <w:rsid w:val="00162B96"/>
    <w:rsid w:val="001645EA"/>
    <w:rsid w:val="00165C37"/>
    <w:rsid w:val="00177F31"/>
    <w:rsid w:val="001908E8"/>
    <w:rsid w:val="001C7370"/>
    <w:rsid w:val="001D639C"/>
    <w:rsid w:val="001E3762"/>
    <w:rsid w:val="001F1107"/>
    <w:rsid w:val="001F2A36"/>
    <w:rsid w:val="00205D10"/>
    <w:rsid w:val="00206C29"/>
    <w:rsid w:val="00227471"/>
    <w:rsid w:val="002348E8"/>
    <w:rsid w:val="0024182B"/>
    <w:rsid w:val="00247B80"/>
    <w:rsid w:val="00264D3F"/>
    <w:rsid w:val="00277CD0"/>
    <w:rsid w:val="002962FD"/>
    <w:rsid w:val="002A7782"/>
    <w:rsid w:val="002B11FA"/>
    <w:rsid w:val="002C2990"/>
    <w:rsid w:val="002C65FB"/>
    <w:rsid w:val="002D056F"/>
    <w:rsid w:val="002D2618"/>
    <w:rsid w:val="002F6BA9"/>
    <w:rsid w:val="003064D2"/>
    <w:rsid w:val="00324B38"/>
    <w:rsid w:val="00327F97"/>
    <w:rsid w:val="0033044C"/>
    <w:rsid w:val="0033474D"/>
    <w:rsid w:val="00335591"/>
    <w:rsid w:val="00343F7E"/>
    <w:rsid w:val="00356B42"/>
    <w:rsid w:val="00364CB2"/>
    <w:rsid w:val="00365B27"/>
    <w:rsid w:val="0037500E"/>
    <w:rsid w:val="00395CBA"/>
    <w:rsid w:val="00397213"/>
    <w:rsid w:val="003A12B3"/>
    <w:rsid w:val="003B340E"/>
    <w:rsid w:val="003C31AB"/>
    <w:rsid w:val="003D39E8"/>
    <w:rsid w:val="003E4B0F"/>
    <w:rsid w:val="003E625C"/>
    <w:rsid w:val="004045E8"/>
    <w:rsid w:val="00407293"/>
    <w:rsid w:val="00435433"/>
    <w:rsid w:val="00440AF0"/>
    <w:rsid w:val="00443608"/>
    <w:rsid w:val="00460E5C"/>
    <w:rsid w:val="004629C8"/>
    <w:rsid w:val="00493F83"/>
    <w:rsid w:val="00495A09"/>
    <w:rsid w:val="004A007B"/>
    <w:rsid w:val="004B12E7"/>
    <w:rsid w:val="004C3FAE"/>
    <w:rsid w:val="004C564D"/>
    <w:rsid w:val="004D5A2C"/>
    <w:rsid w:val="004E2B68"/>
    <w:rsid w:val="004F6BF3"/>
    <w:rsid w:val="0056736A"/>
    <w:rsid w:val="005728AF"/>
    <w:rsid w:val="00583D40"/>
    <w:rsid w:val="00591BC5"/>
    <w:rsid w:val="005B0B87"/>
    <w:rsid w:val="005B3529"/>
    <w:rsid w:val="005D76C3"/>
    <w:rsid w:val="005E31BC"/>
    <w:rsid w:val="006004B5"/>
    <w:rsid w:val="00605AA8"/>
    <w:rsid w:val="00614749"/>
    <w:rsid w:val="006157E6"/>
    <w:rsid w:val="00616B8F"/>
    <w:rsid w:val="0064699B"/>
    <w:rsid w:val="00647989"/>
    <w:rsid w:val="00663D04"/>
    <w:rsid w:val="006A3B91"/>
    <w:rsid w:val="006B25BA"/>
    <w:rsid w:val="006C0A50"/>
    <w:rsid w:val="006C7F19"/>
    <w:rsid w:val="006E63BD"/>
    <w:rsid w:val="006F488A"/>
    <w:rsid w:val="006F5178"/>
    <w:rsid w:val="006F7122"/>
    <w:rsid w:val="00705989"/>
    <w:rsid w:val="007262F3"/>
    <w:rsid w:val="007364C5"/>
    <w:rsid w:val="0073760D"/>
    <w:rsid w:val="00762A8E"/>
    <w:rsid w:val="007641C8"/>
    <w:rsid w:val="00797ACC"/>
    <w:rsid w:val="007B4C26"/>
    <w:rsid w:val="007B74F8"/>
    <w:rsid w:val="007C55FD"/>
    <w:rsid w:val="007D0AD9"/>
    <w:rsid w:val="007E252C"/>
    <w:rsid w:val="007E52F5"/>
    <w:rsid w:val="00802A77"/>
    <w:rsid w:val="008057C8"/>
    <w:rsid w:val="00812772"/>
    <w:rsid w:val="00826744"/>
    <w:rsid w:val="00831F8C"/>
    <w:rsid w:val="00832C34"/>
    <w:rsid w:val="00836355"/>
    <w:rsid w:val="00841868"/>
    <w:rsid w:val="008521D4"/>
    <w:rsid w:val="00867309"/>
    <w:rsid w:val="00870DDB"/>
    <w:rsid w:val="00876F22"/>
    <w:rsid w:val="00877601"/>
    <w:rsid w:val="008810F5"/>
    <w:rsid w:val="00886740"/>
    <w:rsid w:val="008907D6"/>
    <w:rsid w:val="00890EFF"/>
    <w:rsid w:val="008A5EC3"/>
    <w:rsid w:val="008A643C"/>
    <w:rsid w:val="008C434D"/>
    <w:rsid w:val="008C784C"/>
    <w:rsid w:val="008D0208"/>
    <w:rsid w:val="008E32A8"/>
    <w:rsid w:val="008E71F0"/>
    <w:rsid w:val="009439B0"/>
    <w:rsid w:val="00956C08"/>
    <w:rsid w:val="0097262A"/>
    <w:rsid w:val="009A7A76"/>
    <w:rsid w:val="009B6088"/>
    <w:rsid w:val="009C1BFE"/>
    <w:rsid w:val="009C7600"/>
    <w:rsid w:val="009D4FDF"/>
    <w:rsid w:val="009D6793"/>
    <w:rsid w:val="00A0078E"/>
    <w:rsid w:val="00A01C18"/>
    <w:rsid w:val="00A035C0"/>
    <w:rsid w:val="00A2092B"/>
    <w:rsid w:val="00A322AA"/>
    <w:rsid w:val="00A45C43"/>
    <w:rsid w:val="00A47E29"/>
    <w:rsid w:val="00A543CA"/>
    <w:rsid w:val="00A545EC"/>
    <w:rsid w:val="00A551EE"/>
    <w:rsid w:val="00A70D6D"/>
    <w:rsid w:val="00A7478D"/>
    <w:rsid w:val="00A94F18"/>
    <w:rsid w:val="00AB0A63"/>
    <w:rsid w:val="00AC3DB0"/>
    <w:rsid w:val="00AC42C1"/>
    <w:rsid w:val="00AD28B5"/>
    <w:rsid w:val="00AD75CB"/>
    <w:rsid w:val="00B00C0C"/>
    <w:rsid w:val="00B012C9"/>
    <w:rsid w:val="00B20A08"/>
    <w:rsid w:val="00B23AF5"/>
    <w:rsid w:val="00B25DF4"/>
    <w:rsid w:val="00B266A5"/>
    <w:rsid w:val="00B338C2"/>
    <w:rsid w:val="00B33E90"/>
    <w:rsid w:val="00B35124"/>
    <w:rsid w:val="00B354DF"/>
    <w:rsid w:val="00B367EE"/>
    <w:rsid w:val="00B36AF8"/>
    <w:rsid w:val="00B51AF4"/>
    <w:rsid w:val="00B70246"/>
    <w:rsid w:val="00B74E58"/>
    <w:rsid w:val="00B7717A"/>
    <w:rsid w:val="00B84FB6"/>
    <w:rsid w:val="00B8709C"/>
    <w:rsid w:val="00B8793E"/>
    <w:rsid w:val="00BC7C8F"/>
    <w:rsid w:val="00BD20B0"/>
    <w:rsid w:val="00BE4F62"/>
    <w:rsid w:val="00C04E19"/>
    <w:rsid w:val="00C05B28"/>
    <w:rsid w:val="00C24173"/>
    <w:rsid w:val="00C24AB5"/>
    <w:rsid w:val="00C259C2"/>
    <w:rsid w:val="00C35723"/>
    <w:rsid w:val="00C44C33"/>
    <w:rsid w:val="00C6065B"/>
    <w:rsid w:val="00C66E5D"/>
    <w:rsid w:val="00C67998"/>
    <w:rsid w:val="00C7283B"/>
    <w:rsid w:val="00C73F33"/>
    <w:rsid w:val="00C8282D"/>
    <w:rsid w:val="00C913F6"/>
    <w:rsid w:val="00CA601C"/>
    <w:rsid w:val="00CC1147"/>
    <w:rsid w:val="00CC342E"/>
    <w:rsid w:val="00CD39EA"/>
    <w:rsid w:val="00D1036D"/>
    <w:rsid w:val="00D1708C"/>
    <w:rsid w:val="00D40EC3"/>
    <w:rsid w:val="00D56A4B"/>
    <w:rsid w:val="00D6147E"/>
    <w:rsid w:val="00D61926"/>
    <w:rsid w:val="00D70BDE"/>
    <w:rsid w:val="00D720CC"/>
    <w:rsid w:val="00D76E80"/>
    <w:rsid w:val="00D95CA7"/>
    <w:rsid w:val="00DB469F"/>
    <w:rsid w:val="00DC24F7"/>
    <w:rsid w:val="00DC3106"/>
    <w:rsid w:val="00DE2EF7"/>
    <w:rsid w:val="00DF0FCD"/>
    <w:rsid w:val="00E002B1"/>
    <w:rsid w:val="00E061F4"/>
    <w:rsid w:val="00E220F9"/>
    <w:rsid w:val="00E3254A"/>
    <w:rsid w:val="00E325C5"/>
    <w:rsid w:val="00E415E4"/>
    <w:rsid w:val="00E456E8"/>
    <w:rsid w:val="00E62C2E"/>
    <w:rsid w:val="00E67516"/>
    <w:rsid w:val="00E75FE9"/>
    <w:rsid w:val="00E80AFC"/>
    <w:rsid w:val="00E87C5E"/>
    <w:rsid w:val="00EA12D8"/>
    <w:rsid w:val="00EA7D4C"/>
    <w:rsid w:val="00EB33BB"/>
    <w:rsid w:val="00ED6CB4"/>
    <w:rsid w:val="00F00257"/>
    <w:rsid w:val="00F04E6D"/>
    <w:rsid w:val="00F27B58"/>
    <w:rsid w:val="00F32F9F"/>
    <w:rsid w:val="00F34450"/>
    <w:rsid w:val="00F40CE9"/>
    <w:rsid w:val="00F516EA"/>
    <w:rsid w:val="00F62537"/>
    <w:rsid w:val="00F65286"/>
    <w:rsid w:val="00F670F1"/>
    <w:rsid w:val="00F7072D"/>
    <w:rsid w:val="00F748C0"/>
    <w:rsid w:val="00F84D1B"/>
    <w:rsid w:val="00F85822"/>
    <w:rsid w:val="00F90BD0"/>
    <w:rsid w:val="00FA3A08"/>
    <w:rsid w:val="00FA4A0D"/>
    <w:rsid w:val="00FA57AB"/>
    <w:rsid w:val="00FA7F4A"/>
    <w:rsid w:val="00FC3C1F"/>
    <w:rsid w:val="00FD1ED8"/>
    <w:rsid w:val="00FD68BA"/>
    <w:rsid w:val="00FE344D"/>
    <w:rsid w:val="00FE6172"/>
    <w:rsid w:val="00FF4CF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ED6DC127-BB43-4DC3-86A2-65D1D76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ebmail.ahpra.gov.au/owa/redir.aspx?C=5d1668368ade42c5a953687131b196b6&amp;URL=http%3a%2f%2fwww.ahpra.gov.au%2f" TargetMode="External"/><Relationship Id="rId13" Type="http://schemas.openxmlformats.org/officeDocument/2006/relationships/hyperlink" Target="http://www.ahpra.gov.au/Notifications/About-notification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Notifications/What-is-a-notification/What-can-notifications-be-abou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hpra.gov.au/About-AHPRA/Contact-Us/Make-an-Enquir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ropracticboard.gov.au/News/2015-04-04-media-release.aspx" TargetMode="External"/><Relationship Id="rId5" Type="http://schemas.openxmlformats.org/officeDocument/2006/relationships/webSettings" Target="webSettings.xml"/><Relationship Id="rId15" Type="http://schemas.openxmlformats.org/officeDocument/2006/relationships/hyperlink" Target="http://www.ahpra.gov.au/Notifications/Hearing-Decisions.aspx" TargetMode="External"/><Relationship Id="rId10" Type="http://schemas.openxmlformats.org/officeDocument/2006/relationships/hyperlink" Target="http://www.ahpra.gov.au/News/Consultations/Past-Consultation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hpra.gov.au/Registration/Registration-Process/Criminal-history-checks/International-Criminal-History.aspx" TargetMode="External"/><Relationship Id="rId14" Type="http://schemas.openxmlformats.org/officeDocument/2006/relationships/hyperlink" Target="http://www.ahpra.gov.au/Notifications/Fact-sheets/Immediate-a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C0C6-8492-4EBE-8A94-FB64403F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Chiropractic Board - Communiqué - Meeting of the Chiropractic Board of Australia - 20 February 2015</vt:lpstr>
    </vt:vector>
  </TitlesOfParts>
  <Company>AHPRA</Company>
  <LinksUpToDate>false</LinksUpToDate>
  <CharactersWithSpaces>9489</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Board - Communiqué - Meeting of the Chiropractic Board of Australia - 20 February 2015</dc:title>
  <dc:subject>Communiqué</dc:subject>
  <dc:creator>Chiropractic Board</dc:creator>
  <cp:lastModifiedBy>Sheryl Kamath</cp:lastModifiedBy>
  <cp:revision>3</cp:revision>
  <cp:lastPrinted>2015-03-11T22:40:00Z</cp:lastPrinted>
  <dcterms:created xsi:type="dcterms:W3CDTF">2015-03-11T22:40:00Z</dcterms:created>
  <dcterms:modified xsi:type="dcterms:W3CDTF">2015-03-11T22:41:00Z</dcterms:modified>
</cp:coreProperties>
</file>