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A3" w:rsidRDefault="00225AA3">
      <w:pPr>
        <w:pStyle w:val="Default"/>
        <w:rPr>
          <w:color w:val="00BBE3"/>
          <w:sz w:val="22"/>
          <w:szCs w:val="22"/>
        </w:rPr>
      </w:pPr>
    </w:p>
    <w:p w:rsidR="00225AA3" w:rsidRDefault="00225AA3">
      <w:pPr>
        <w:pStyle w:val="Default"/>
        <w:rPr>
          <w:color w:val="00BBE3"/>
          <w:sz w:val="32"/>
          <w:szCs w:val="32"/>
        </w:rPr>
      </w:pPr>
      <w:r>
        <w:rPr>
          <w:color w:val="00BBE3"/>
          <w:sz w:val="32"/>
          <w:szCs w:val="32"/>
        </w:rPr>
        <w:t xml:space="preserve">Communiqué </w:t>
      </w:r>
    </w:p>
    <w:p w:rsidR="00225AA3" w:rsidRDefault="00225AA3">
      <w:pPr>
        <w:pStyle w:val="Default"/>
        <w:rPr>
          <w:color w:val="00BBE3"/>
          <w:sz w:val="22"/>
          <w:szCs w:val="22"/>
        </w:rPr>
      </w:pPr>
    </w:p>
    <w:p w:rsidR="00225AA3" w:rsidRDefault="00225AA3">
      <w:pPr>
        <w:pStyle w:val="AHPRAbody"/>
        <w:spacing w:after="0"/>
        <w:rPr>
          <w:lang w:val="en-AU"/>
        </w:rPr>
      </w:pPr>
      <w:r>
        <w:rPr>
          <w:lang w:val="en-AU"/>
        </w:rPr>
        <w:t xml:space="preserve">The </w:t>
      </w:r>
      <w:r w:rsidR="00076261">
        <w:rPr>
          <w:lang w:val="en-AU"/>
        </w:rPr>
        <w:t>June</w:t>
      </w:r>
      <w:r>
        <w:rPr>
          <w:lang w:val="en-AU"/>
        </w:rPr>
        <w:t xml:space="preserve"> </w:t>
      </w:r>
      <w:r>
        <w:t xml:space="preserve">meeting of the Chiropractic Board of Australia (the National Board) was held </w:t>
      </w:r>
      <w:r>
        <w:rPr>
          <w:lang w:val="en-AU"/>
        </w:rPr>
        <w:t xml:space="preserve">on </w:t>
      </w:r>
      <w:r w:rsidR="00076261">
        <w:rPr>
          <w:lang w:val="en-AU"/>
        </w:rPr>
        <w:t>20 June</w:t>
      </w:r>
      <w:r>
        <w:t xml:space="preserve"> 2014. This</w:t>
      </w:r>
      <w:r>
        <w:rPr>
          <w:lang w:val="en-AU"/>
        </w:rPr>
        <w:t xml:space="preserve"> </w:t>
      </w:r>
      <w:r>
        <w:t xml:space="preserve">communiqué highlights key issues from the meeting. </w:t>
      </w:r>
    </w:p>
    <w:p w:rsidR="00225AA3" w:rsidRDefault="00225AA3">
      <w:pPr>
        <w:pStyle w:val="AHPRAbody"/>
        <w:spacing w:after="0"/>
        <w:rPr>
          <w:lang w:val="en-AU"/>
        </w:rPr>
      </w:pPr>
    </w:p>
    <w:p w:rsidR="00225AA3" w:rsidRDefault="00225AA3">
      <w:pPr>
        <w:pStyle w:val="AHPRAbody"/>
        <w:spacing w:after="0"/>
        <w:rPr>
          <w:lang w:val="en-AU"/>
        </w:rPr>
      </w:pPr>
      <w:r>
        <w:t xml:space="preserve">At each meeting, the National Board considers a wide range of issues, many of which are routine and are not included in this communiqué. </w:t>
      </w:r>
    </w:p>
    <w:p w:rsidR="00225AA3" w:rsidRDefault="00225AA3">
      <w:pPr>
        <w:pStyle w:val="AHPRAbody"/>
        <w:spacing w:after="0"/>
        <w:rPr>
          <w:lang w:val="en-AU"/>
        </w:rPr>
      </w:pPr>
    </w:p>
    <w:p w:rsidR="00225AA3" w:rsidRDefault="00225AA3">
      <w:pPr>
        <w:pStyle w:val="AHPRAbody"/>
        <w:spacing w:after="0"/>
      </w:pPr>
      <w:r>
        <w:t xml:space="preserve">The National Board publishes this communiqué on its website and emails it to a broad range of stakeholders. Please forward it on to colleagues and employees who may be interested in the work of the National Board. </w:t>
      </w:r>
    </w:p>
    <w:p w:rsidR="00225AA3" w:rsidRDefault="00225AA3">
      <w:pPr>
        <w:pStyle w:val="AHPRAbody"/>
        <w:spacing w:after="0"/>
        <w:rPr>
          <w:rFonts w:eastAsia="Calibri"/>
          <w:b/>
          <w:color w:val="008EC4"/>
          <w:sz w:val="22"/>
          <w:szCs w:val="22"/>
          <w:lang w:val="en-US" w:eastAsia="en-US"/>
        </w:rPr>
      </w:pPr>
    </w:p>
    <w:p w:rsidR="00225AA3" w:rsidRDefault="00225AA3">
      <w:pPr>
        <w:pStyle w:val="AHPRASubhead"/>
        <w:spacing w:after="0"/>
      </w:pPr>
      <w:r>
        <w:t xml:space="preserve">Consultations  </w:t>
      </w:r>
    </w:p>
    <w:p w:rsidR="00225AA3" w:rsidRDefault="00225AA3">
      <w:pPr>
        <w:pStyle w:val="AHPRASubhead"/>
        <w:spacing w:after="0"/>
      </w:pPr>
    </w:p>
    <w:p w:rsidR="00225AA3" w:rsidRDefault="00225AA3">
      <w:pPr>
        <w:pStyle w:val="AHPRAbody"/>
        <w:spacing w:after="0"/>
        <w:rPr>
          <w:szCs w:val="20"/>
          <w:lang w:val="en-AU"/>
        </w:rPr>
      </w:pPr>
      <w:r>
        <w:t xml:space="preserve">Along with other National Boards, the </w:t>
      </w:r>
      <w:r>
        <w:rPr>
          <w:lang w:val="en-AU"/>
        </w:rPr>
        <w:t xml:space="preserve">National </w:t>
      </w:r>
      <w:r>
        <w:t xml:space="preserve">Board </w:t>
      </w:r>
      <w:r>
        <w:rPr>
          <w:lang w:val="en-AU"/>
        </w:rPr>
        <w:t>is now consulting</w:t>
      </w:r>
      <w:r>
        <w:t xml:space="preserve"> on the revised registration standards for professional indemnity insurance, recency of practice and continuing professional development</w:t>
      </w:r>
      <w:r>
        <w:rPr>
          <w:lang w:val="en-AU"/>
        </w:rPr>
        <w:t xml:space="preserve"> and two supporting guidelines for the registration standard on continuing professional development</w:t>
      </w:r>
      <w:r>
        <w:t xml:space="preserve">. </w:t>
      </w:r>
      <w:r>
        <w:rPr>
          <w:szCs w:val="20"/>
          <w:lang w:val="en-AU"/>
        </w:rPr>
        <w:t xml:space="preserve"> The revised standards can be found on the </w:t>
      </w:r>
      <w:hyperlink r:id="rId8" w:history="1">
        <w:r>
          <w:rPr>
            <w:rStyle w:val="Hyperlink"/>
            <w:szCs w:val="20"/>
            <w:lang w:val="en-AU"/>
          </w:rPr>
          <w:t>National Board</w:t>
        </w:r>
        <w:r>
          <w:rPr>
            <w:rStyle w:val="Hyperlink"/>
            <w:szCs w:val="20"/>
            <w:lang w:val="en-AU"/>
          </w:rPr>
          <w:t>’</w:t>
        </w:r>
        <w:r>
          <w:rPr>
            <w:rStyle w:val="Hyperlink"/>
            <w:szCs w:val="20"/>
            <w:lang w:val="en-AU"/>
          </w:rPr>
          <w:t>s we</w:t>
        </w:r>
        <w:r>
          <w:rPr>
            <w:rStyle w:val="Hyperlink"/>
            <w:szCs w:val="20"/>
            <w:lang w:val="en-AU"/>
          </w:rPr>
          <w:t>b</w:t>
        </w:r>
        <w:r>
          <w:rPr>
            <w:rStyle w:val="Hyperlink"/>
            <w:szCs w:val="20"/>
            <w:lang w:val="en-AU"/>
          </w:rPr>
          <w:t>site</w:t>
        </w:r>
      </w:hyperlink>
      <w:r>
        <w:rPr>
          <w:szCs w:val="20"/>
          <w:lang w:val="en-AU"/>
        </w:rPr>
        <w:t xml:space="preserve"> along with a response template. </w:t>
      </w:r>
    </w:p>
    <w:p w:rsidR="00225AA3" w:rsidRDefault="00225AA3">
      <w:pPr>
        <w:pStyle w:val="AHPRAbody"/>
        <w:spacing w:after="0"/>
        <w:rPr>
          <w:szCs w:val="20"/>
          <w:lang w:val="en-AU"/>
        </w:rPr>
      </w:pPr>
    </w:p>
    <w:p w:rsidR="00225AA3" w:rsidRDefault="00225AA3">
      <w:pPr>
        <w:pStyle w:val="AHPRAbody"/>
        <w:spacing w:after="0"/>
        <w:rPr>
          <w:sz w:val="22"/>
          <w:szCs w:val="22"/>
          <w:lang w:val="en-AU"/>
        </w:rPr>
      </w:pPr>
      <w:r>
        <w:rPr>
          <w:szCs w:val="20"/>
          <w:lang w:val="en-AU"/>
        </w:rPr>
        <w:t xml:space="preserve">The National Board welcomes feedback from all stakeholders to </w:t>
      </w:r>
      <w:r>
        <w:rPr>
          <w:rStyle w:val="Hyperlink"/>
        </w:rPr>
        <w:t>chiro</w:t>
      </w:r>
      <w:r w:rsidR="00076261">
        <w:rPr>
          <w:rStyle w:val="Hyperlink"/>
          <w:lang w:val="en-AU"/>
        </w:rPr>
        <w:t>board</w:t>
      </w:r>
      <w:r>
        <w:rPr>
          <w:rStyle w:val="Hyperlink"/>
        </w:rPr>
        <w:t>consultation@ahpra.gov.au</w:t>
      </w:r>
      <w:r>
        <w:rPr>
          <w:szCs w:val="20"/>
          <w:lang w:val="en-AU"/>
        </w:rPr>
        <w:t>. Consultation will close on 30 June 2014.</w:t>
      </w:r>
    </w:p>
    <w:p w:rsidR="00225AA3" w:rsidRDefault="00225AA3">
      <w:pPr>
        <w:shd w:val="clear" w:color="auto" w:fill="FFFFFF"/>
        <w:spacing w:before="245" w:after="245" w:line="245" w:lineRule="atLeast"/>
        <w:ind w:right="245"/>
        <w:outlineLvl w:val="2"/>
        <w:rPr>
          <w:rFonts w:eastAsia="Cambria" w:cs="Times New Roman"/>
          <w:b/>
          <w:color w:val="007DC3"/>
          <w:sz w:val="20"/>
          <w:lang w:val="en-US" w:eastAsia="en-US"/>
        </w:rPr>
      </w:pPr>
      <w:r>
        <w:rPr>
          <w:rFonts w:eastAsia="Cambria" w:cs="Times New Roman"/>
          <w:b/>
          <w:color w:val="007DC3"/>
          <w:sz w:val="20"/>
          <w:lang w:val="en-US" w:eastAsia="en-US"/>
        </w:rPr>
        <w:t>National Registration and Accreditation Scheme review</w:t>
      </w:r>
    </w:p>
    <w:p w:rsidR="00225AA3" w:rsidRDefault="00225AA3">
      <w:pPr>
        <w:pStyle w:val="AHPRAbody"/>
        <w:spacing w:after="0"/>
        <w:rPr>
          <w:lang w:val="en-AU"/>
        </w:rPr>
      </w:pPr>
      <w:r>
        <w:t>The Australian Health Ministers' Advisory Council (AHMAC) has now published the terms of reference for the three-year review of the National Registration and Accreditation Scheme (National Scheme).</w:t>
      </w:r>
    </w:p>
    <w:p w:rsidR="00225AA3" w:rsidRDefault="00225AA3">
      <w:pPr>
        <w:pStyle w:val="AHPRAbody"/>
        <w:spacing w:after="0"/>
        <w:rPr>
          <w:lang w:val="en-AU"/>
        </w:rPr>
      </w:pPr>
    </w:p>
    <w:p w:rsidR="00225AA3" w:rsidRDefault="00225AA3">
      <w:pPr>
        <w:pStyle w:val="AHPRAbody"/>
        <w:rPr>
          <w:lang w:val="en-AU"/>
        </w:rPr>
      </w:pPr>
      <w:r>
        <w:t>The three-year review will examine:</w:t>
      </w:r>
    </w:p>
    <w:p w:rsidR="00225AA3" w:rsidRDefault="00225AA3">
      <w:pPr>
        <w:pStyle w:val="AHPRABulletlevel1"/>
        <w:numPr>
          <w:ilvl w:val="0"/>
          <w:numId w:val="30"/>
        </w:numPr>
        <w:spacing w:after="200"/>
        <w:ind w:left="357" w:right="357" w:hanging="357"/>
        <w:rPr>
          <w:rFonts w:cs="Arial"/>
          <w:lang w:val="en-AU"/>
        </w:rPr>
      </w:pPr>
      <w:r>
        <w:rPr>
          <w:rFonts w:cs="Arial"/>
          <w:lang w:val="en-AU"/>
        </w:rPr>
        <w:t>the extent to which we are meeting the objectives and guiding principles of the National Scheme</w:t>
      </w:r>
    </w:p>
    <w:p w:rsidR="00225AA3" w:rsidRDefault="00225AA3">
      <w:pPr>
        <w:pStyle w:val="AHPRABulletlevel1"/>
        <w:numPr>
          <w:ilvl w:val="0"/>
          <w:numId w:val="30"/>
        </w:numPr>
        <w:spacing w:after="200"/>
        <w:ind w:left="357" w:right="357" w:hanging="357"/>
        <w:rPr>
          <w:rFonts w:cs="Arial"/>
          <w:lang w:val="en-AU"/>
        </w:rPr>
      </w:pPr>
      <w:r>
        <w:rPr>
          <w:rFonts w:cs="Arial"/>
          <w:lang w:val="en-AU"/>
        </w:rPr>
        <w:t>the operational performance of the National Scheme</w:t>
      </w:r>
    </w:p>
    <w:p w:rsidR="00225AA3" w:rsidRDefault="00225AA3">
      <w:pPr>
        <w:pStyle w:val="AHPRABulletlevel1"/>
        <w:numPr>
          <w:ilvl w:val="0"/>
          <w:numId w:val="30"/>
        </w:numPr>
        <w:spacing w:after="200"/>
        <w:ind w:left="357" w:right="357" w:hanging="357"/>
        <w:rPr>
          <w:rFonts w:cs="Arial"/>
          <w:lang w:val="en-AU"/>
        </w:rPr>
      </w:pPr>
      <w:r>
        <w:rPr>
          <w:rFonts w:cs="Arial"/>
          <w:lang w:val="en-AU"/>
        </w:rPr>
        <w:t>the National Law, including mandatory reporting, the Australian Health Workforce Advisory Council and new professions entering the scheme</w:t>
      </w:r>
    </w:p>
    <w:p w:rsidR="00225AA3" w:rsidRDefault="00225AA3">
      <w:pPr>
        <w:pStyle w:val="AHPRABulletlevel1"/>
        <w:numPr>
          <w:ilvl w:val="0"/>
          <w:numId w:val="30"/>
        </w:numPr>
        <w:spacing w:after="200"/>
        <w:ind w:left="357" w:right="357" w:hanging="357"/>
        <w:rPr>
          <w:rFonts w:cs="Arial"/>
          <w:lang w:val="en-AU"/>
        </w:rPr>
      </w:pPr>
      <w:r>
        <w:rPr>
          <w:rFonts w:cs="Arial"/>
          <w:lang w:val="en-AU"/>
        </w:rPr>
        <w:t>governance effectiveness, including within the National Scheme and with our key stakeholders, and</w:t>
      </w:r>
    </w:p>
    <w:p w:rsidR="00225AA3" w:rsidRDefault="00225AA3">
      <w:pPr>
        <w:pStyle w:val="AHPRABulletlevel1"/>
        <w:numPr>
          <w:ilvl w:val="0"/>
          <w:numId w:val="30"/>
        </w:numPr>
        <w:spacing w:after="200"/>
        <w:ind w:left="357" w:right="357" w:hanging="357"/>
        <w:rPr>
          <w:rFonts w:cs="Arial"/>
          <w:lang w:val="en-AU"/>
        </w:rPr>
      </w:pPr>
      <w:r>
        <w:rPr>
          <w:rFonts w:cs="Arial"/>
          <w:lang w:val="en-AU"/>
        </w:rPr>
        <w:t>the sustainability of the National Scheme, with a specific focus on new professions in the Scheme and funding for smaller professions.</w:t>
      </w:r>
    </w:p>
    <w:p w:rsidR="00225AA3" w:rsidRDefault="00225AA3">
      <w:pPr>
        <w:pStyle w:val="AHPRAbody"/>
        <w:spacing w:after="0"/>
        <w:rPr>
          <w:lang w:val="en-AU"/>
        </w:rPr>
      </w:pPr>
      <w:r>
        <w:rPr>
          <w:lang w:val="en-AU"/>
        </w:rPr>
        <w:t xml:space="preserve">For more information, visit the </w:t>
      </w:r>
      <w:hyperlink r:id="rId9" w:history="1">
        <w:r>
          <w:rPr>
            <w:rStyle w:val="Hyperlink"/>
            <w:lang w:val="en-AU"/>
          </w:rPr>
          <w:t>Ne</w:t>
        </w:r>
        <w:r>
          <w:rPr>
            <w:rStyle w:val="Hyperlink"/>
            <w:lang w:val="en-AU"/>
          </w:rPr>
          <w:t>w</w:t>
        </w:r>
        <w:r>
          <w:rPr>
            <w:rStyle w:val="Hyperlink"/>
            <w:lang w:val="en-AU"/>
          </w:rPr>
          <w:t>s</w:t>
        </w:r>
      </w:hyperlink>
      <w:r>
        <w:rPr>
          <w:lang w:val="en-AU"/>
        </w:rPr>
        <w:t xml:space="preserve"> section on the AHPRA website.</w:t>
      </w:r>
    </w:p>
    <w:p w:rsidR="00076261" w:rsidRDefault="00076261">
      <w:pPr>
        <w:pStyle w:val="AHPRAbody"/>
        <w:spacing w:after="0"/>
        <w:rPr>
          <w:b/>
          <w:color w:val="007DC3"/>
          <w:lang w:val="en-US" w:eastAsia="en-US"/>
        </w:rPr>
      </w:pPr>
    </w:p>
    <w:p w:rsidR="00225AA3" w:rsidRDefault="00225AA3">
      <w:pPr>
        <w:pStyle w:val="AHPRAbody"/>
        <w:spacing w:after="0"/>
        <w:rPr>
          <w:b/>
          <w:color w:val="007DC3"/>
          <w:lang w:val="en-US" w:eastAsia="en-US"/>
        </w:rPr>
      </w:pPr>
      <w:r>
        <w:rPr>
          <w:b/>
          <w:color w:val="007DC3"/>
          <w:lang w:val="en-US" w:eastAsia="en-US"/>
        </w:rPr>
        <w:t>Panel member recruitment</w:t>
      </w:r>
    </w:p>
    <w:p w:rsidR="00225AA3" w:rsidRDefault="00225AA3">
      <w:pPr>
        <w:pStyle w:val="AHPRAbody"/>
        <w:spacing w:after="0"/>
        <w:rPr>
          <w:b/>
          <w:color w:val="007DC3"/>
          <w:lang w:val="en-US" w:eastAsia="en-US"/>
        </w:rPr>
      </w:pPr>
    </w:p>
    <w:p w:rsidR="00225AA3" w:rsidRDefault="00225AA3">
      <w:pPr>
        <w:pStyle w:val="AHPRAbody"/>
        <w:spacing w:after="0"/>
        <w:rPr>
          <w:lang w:val="en-US"/>
        </w:rPr>
      </w:pPr>
      <w:r>
        <w:rPr>
          <w:lang w:val="en-US"/>
        </w:rPr>
        <w:t xml:space="preserve">The National Board is currently undertaking a recruitment project for practitioners who </w:t>
      </w:r>
      <w:r>
        <w:rPr>
          <w:color w:val="000000"/>
          <w:lang w:val="en-AU"/>
        </w:rPr>
        <w:t>express an interest and meet the required criteria to be</w:t>
      </w:r>
      <w:r>
        <w:rPr>
          <w:lang w:val="en-US"/>
        </w:rPr>
        <w:t xml:space="preserve"> panel members to sit on professional standards panels. Please see the </w:t>
      </w:r>
      <w:hyperlink r:id="rId10" w:history="1">
        <w:r>
          <w:rPr>
            <w:color w:val="0000FF"/>
            <w:u w:val="single"/>
          </w:rPr>
          <w:t>National Board’s</w:t>
        </w:r>
      </w:hyperlink>
      <w:r>
        <w:rPr>
          <w:color w:val="0000FF"/>
          <w:u w:val="single"/>
        </w:rPr>
        <w:t xml:space="preserve"> website</w:t>
      </w:r>
      <w:r>
        <w:rPr>
          <w:lang w:val="en-US"/>
        </w:rPr>
        <w:t xml:space="preserve"> </w:t>
      </w:r>
      <w:r>
        <w:rPr>
          <w:lang w:val="en-US"/>
        </w:rPr>
        <w:t xml:space="preserve">for more details about this process. </w:t>
      </w:r>
    </w:p>
    <w:p w:rsidR="00FB3331" w:rsidRDefault="00FB3331">
      <w:pPr>
        <w:pStyle w:val="AHPRAbody"/>
        <w:spacing w:after="0"/>
        <w:rPr>
          <w:lang w:val="en-US"/>
        </w:rPr>
      </w:pPr>
    </w:p>
    <w:p w:rsidR="00FB3331" w:rsidRDefault="00FB3331">
      <w:pPr>
        <w:pStyle w:val="AHPRAbody"/>
        <w:spacing w:after="0"/>
        <w:rPr>
          <w:b/>
          <w:color w:val="007DC3"/>
          <w:lang w:val="en-US" w:eastAsia="en-US"/>
        </w:rPr>
      </w:pPr>
    </w:p>
    <w:p w:rsidR="00FB3331" w:rsidRDefault="00FB3331">
      <w:pPr>
        <w:pStyle w:val="AHPRAbody"/>
        <w:spacing w:after="0"/>
        <w:rPr>
          <w:b/>
          <w:color w:val="007DC3"/>
          <w:lang w:val="en-US" w:eastAsia="en-US"/>
        </w:rPr>
      </w:pPr>
    </w:p>
    <w:p w:rsidR="00FB3331" w:rsidRDefault="00FB3331">
      <w:pPr>
        <w:pStyle w:val="AHPRAbody"/>
        <w:spacing w:after="0"/>
        <w:rPr>
          <w:b/>
          <w:color w:val="007DC3"/>
          <w:lang w:val="en-US" w:eastAsia="en-US"/>
        </w:rPr>
      </w:pPr>
    </w:p>
    <w:p w:rsidR="00FB3331" w:rsidRDefault="00FB3331">
      <w:pPr>
        <w:pStyle w:val="AHPRAbody"/>
        <w:spacing w:after="0"/>
        <w:rPr>
          <w:b/>
          <w:color w:val="007DC3"/>
          <w:lang w:val="en-US" w:eastAsia="en-US"/>
        </w:rPr>
      </w:pPr>
    </w:p>
    <w:p w:rsidR="00FB3331" w:rsidRDefault="00FB3331">
      <w:pPr>
        <w:pStyle w:val="AHPRAbody"/>
        <w:spacing w:after="0"/>
        <w:rPr>
          <w:lang w:val="en-US"/>
        </w:rPr>
      </w:pPr>
      <w:r>
        <w:rPr>
          <w:b/>
          <w:color w:val="007DC3"/>
          <w:lang w:val="en-US" w:eastAsia="en-US"/>
        </w:rPr>
        <w:lastRenderedPageBreak/>
        <w:t>Queensland – new arrangements for handling notifications from 1 July 2014</w:t>
      </w:r>
    </w:p>
    <w:p w:rsidR="00225AA3" w:rsidRDefault="00225AA3">
      <w:pPr>
        <w:pStyle w:val="AHPRAbody"/>
        <w:spacing w:after="0"/>
        <w:rPr>
          <w:rFonts w:ascii="Tahoma" w:hAnsi="Tahoma" w:cs="Tahoma"/>
          <w:lang w:val="en-AU"/>
        </w:rPr>
      </w:pPr>
    </w:p>
    <w:p w:rsidR="00FB3331" w:rsidRDefault="00FB3331" w:rsidP="00FB3331">
      <w:pPr>
        <w:pStyle w:val="Default"/>
      </w:pPr>
      <w:r>
        <w:rPr>
          <w:sz w:val="20"/>
          <w:szCs w:val="20"/>
        </w:rPr>
        <w:t xml:space="preserve">From 1 July 2014 a new law comes in to effect in Queensland, the </w:t>
      </w:r>
      <w:r>
        <w:rPr>
          <w:i/>
          <w:iCs/>
          <w:sz w:val="20"/>
          <w:szCs w:val="20"/>
        </w:rPr>
        <w:t>Health Ombudsman Act 2013</w:t>
      </w:r>
      <w:r>
        <w:rPr>
          <w:sz w:val="20"/>
          <w:szCs w:val="20"/>
        </w:rPr>
        <w:t xml:space="preserve">. </w:t>
      </w:r>
    </w:p>
    <w:p w:rsidR="00FB3331" w:rsidRDefault="00FB3331" w:rsidP="00FB3331">
      <w:pPr>
        <w:pStyle w:val="Default"/>
      </w:pPr>
      <w:r>
        <w:rPr>
          <w:sz w:val="20"/>
          <w:szCs w:val="20"/>
        </w:rPr>
        <w:t> </w:t>
      </w:r>
    </w:p>
    <w:p w:rsidR="00FB3331" w:rsidRDefault="00FB3331" w:rsidP="00FB3331">
      <w:pPr>
        <w:pStyle w:val="Default"/>
      </w:pPr>
      <w:r>
        <w:rPr>
          <w:sz w:val="20"/>
          <w:szCs w:val="20"/>
        </w:rPr>
        <w:t xml:space="preserve">From this date, all complaints about Queensland health practitioners will be received by the Office of the Health Ombudsman (OHO) who will either manage the matters or refer them to the relevant National Board to manage. </w:t>
      </w:r>
    </w:p>
    <w:p w:rsidR="00FB3331" w:rsidRDefault="00FB3331" w:rsidP="00FB3331">
      <w:pPr>
        <w:pStyle w:val="Default"/>
      </w:pPr>
      <w:r>
        <w:rPr>
          <w:sz w:val="20"/>
          <w:szCs w:val="20"/>
        </w:rPr>
        <w:t> </w:t>
      </w:r>
    </w:p>
    <w:p w:rsidR="00FB3331" w:rsidRDefault="00FB3331" w:rsidP="00FB3331">
      <w:pPr>
        <w:pStyle w:val="Default"/>
      </w:pPr>
      <w:r>
        <w:rPr>
          <w:sz w:val="20"/>
          <w:szCs w:val="20"/>
        </w:rPr>
        <w:t xml:space="preserve">Complaints that were made to AHPRA or National Boards before 1 July 2014 will generally continue to be managed by AHPRA as delegated by the National Boards. However, under the new law the OHO can request that a matter be referred to them to be managed. If this were to happen, AHPRA will inform both the notifier and the practitioner who is the subject of the notification. </w:t>
      </w:r>
    </w:p>
    <w:p w:rsidR="00FB3331" w:rsidRDefault="00FB3331" w:rsidP="00FB3331">
      <w:r>
        <w:rPr>
          <w:sz w:val="20"/>
          <w:szCs w:val="20"/>
        </w:rPr>
        <w:t> </w:t>
      </w:r>
    </w:p>
    <w:p w:rsidR="00FB3331" w:rsidRDefault="00FB3331" w:rsidP="00FB3331">
      <w:pPr>
        <w:spacing w:after="120"/>
      </w:pPr>
      <w:r>
        <w:rPr>
          <w:sz w:val="20"/>
          <w:szCs w:val="20"/>
        </w:rPr>
        <w:t xml:space="preserve">For information about the Office of the Health Ombudsman please go to </w:t>
      </w:r>
      <w:hyperlink r:id="rId11" w:history="1">
        <w:r>
          <w:rPr>
            <w:rStyle w:val="Hyperlink"/>
            <w:sz w:val="20"/>
            <w:szCs w:val="20"/>
          </w:rPr>
          <w:t>www.oho.qld.gov.au</w:t>
        </w:r>
      </w:hyperlink>
      <w:r>
        <w:rPr>
          <w:sz w:val="20"/>
          <w:szCs w:val="20"/>
        </w:rPr>
        <w:t>  or call 133 646 (133 OHO).</w:t>
      </w:r>
    </w:p>
    <w:p w:rsidR="00FB3331" w:rsidRDefault="00FB3331" w:rsidP="00FB3331">
      <w:pPr>
        <w:pStyle w:val="AHPRAbody"/>
        <w:spacing w:after="0"/>
        <w:rPr>
          <w:rFonts w:ascii="Tahoma" w:hAnsi="Tahoma" w:cs="Tahoma"/>
          <w:lang w:val="en-AU"/>
        </w:rPr>
      </w:pPr>
      <w:r>
        <w:rPr>
          <w:rFonts w:cs="Arial"/>
          <w:szCs w:val="20"/>
        </w:rPr>
        <w:t xml:space="preserve">To find out more about how notifications/complaints are managed nationally, please go to the </w:t>
      </w:r>
      <w:hyperlink r:id="rId12" w:history="1">
        <w:r>
          <w:rPr>
            <w:rStyle w:val="Hyperlink"/>
            <w:rFonts w:cs="Arial"/>
            <w:i/>
            <w:iCs/>
            <w:szCs w:val="20"/>
          </w:rPr>
          <w:t>What is a notification?</w:t>
        </w:r>
      </w:hyperlink>
      <w:r>
        <w:rPr>
          <w:rFonts w:cs="Arial"/>
          <w:szCs w:val="20"/>
        </w:rPr>
        <w:t xml:space="preserve"> page on the AHPRA website.</w:t>
      </w:r>
    </w:p>
    <w:p w:rsidR="00FB3331" w:rsidRDefault="00FB3331">
      <w:pPr>
        <w:pStyle w:val="AHPRAbody"/>
        <w:spacing w:after="0"/>
        <w:rPr>
          <w:rFonts w:ascii="Tahoma" w:hAnsi="Tahoma" w:cs="Tahoma"/>
          <w:lang w:val="en-AU"/>
        </w:rPr>
      </w:pPr>
    </w:p>
    <w:p w:rsidR="00225AA3" w:rsidRDefault="00225AA3">
      <w:pPr>
        <w:pStyle w:val="AHPRASubheading"/>
        <w:spacing w:before="0" w:after="0"/>
      </w:pPr>
      <w:r>
        <w:t xml:space="preserve">Conclusion </w:t>
      </w:r>
    </w:p>
    <w:p w:rsidR="00225AA3" w:rsidRDefault="00225AA3">
      <w:pPr>
        <w:pStyle w:val="AHPRASubheading"/>
        <w:spacing w:before="0" w:after="0"/>
      </w:pPr>
    </w:p>
    <w:p w:rsidR="00225AA3" w:rsidRDefault="00225AA3">
      <w:pPr>
        <w:pStyle w:val="AHPRAbody"/>
        <w:spacing w:after="0"/>
        <w:rPr>
          <w:lang w:val="en-AU"/>
        </w:rPr>
      </w:pPr>
      <w:r>
        <w:t xml:space="preserve">The National Board publishes a range of information about registration and the National Board’s expectations of practitioners on its website at </w:t>
      </w:r>
      <w:r>
        <w:rPr>
          <w:color w:val="0000FF"/>
          <w:u w:val="single"/>
        </w:rPr>
        <w:t xml:space="preserve">www.chiropracticboard.gov.au </w:t>
      </w:r>
      <w:r>
        <w:t xml:space="preserve">or </w:t>
      </w:r>
      <w:r>
        <w:rPr>
          <w:color w:val="0000FF"/>
          <w:u w:val="single"/>
        </w:rPr>
        <w:t>www.ahpra.gov.au</w:t>
      </w:r>
      <w:r>
        <w:t xml:space="preserve">. </w:t>
      </w:r>
    </w:p>
    <w:p w:rsidR="00225AA3" w:rsidRDefault="00225AA3">
      <w:pPr>
        <w:pStyle w:val="AHPRAbody"/>
        <w:spacing w:after="0"/>
      </w:pPr>
      <w:r>
        <w:t xml:space="preserve">For more detail or with questions about your registration please send an </w:t>
      </w:r>
      <w:r>
        <w:rPr>
          <w:color w:val="0000FF"/>
          <w:u w:val="single"/>
        </w:rPr>
        <w:t xml:space="preserve">online enquiry form </w:t>
      </w:r>
      <w:r>
        <w:t>or contact AHP</w:t>
      </w:r>
      <w:r>
        <w:rPr>
          <w:lang w:val="en-AU"/>
        </w:rPr>
        <w:t>R</w:t>
      </w:r>
      <w:r>
        <w:t xml:space="preserve">A on 1300 419 495. </w:t>
      </w:r>
    </w:p>
    <w:p w:rsidR="00225AA3" w:rsidRDefault="00225AA3">
      <w:pPr>
        <w:pStyle w:val="Default"/>
        <w:rPr>
          <w:b/>
          <w:bCs/>
          <w:color w:val="007BC3"/>
          <w:sz w:val="22"/>
          <w:szCs w:val="22"/>
        </w:rPr>
      </w:pPr>
    </w:p>
    <w:p w:rsidR="00225AA3" w:rsidRDefault="00225AA3">
      <w:pPr>
        <w:pStyle w:val="AHPRASubheading"/>
        <w:spacing w:before="0" w:after="0"/>
      </w:pPr>
      <w:r>
        <w:t xml:space="preserve">Dr Phillip Donato </w:t>
      </w:r>
    </w:p>
    <w:p w:rsidR="00225AA3" w:rsidRDefault="00225AA3">
      <w:pPr>
        <w:pStyle w:val="Default"/>
        <w:rPr>
          <w:sz w:val="20"/>
          <w:szCs w:val="22"/>
        </w:rPr>
      </w:pPr>
      <w:r>
        <w:rPr>
          <w:sz w:val="20"/>
          <w:szCs w:val="22"/>
        </w:rPr>
        <w:t xml:space="preserve">Chiropractor </w:t>
      </w:r>
    </w:p>
    <w:p w:rsidR="00225AA3" w:rsidRDefault="00225AA3">
      <w:pPr>
        <w:pStyle w:val="Default"/>
        <w:rPr>
          <w:sz w:val="20"/>
          <w:szCs w:val="22"/>
        </w:rPr>
      </w:pPr>
      <w:r>
        <w:rPr>
          <w:sz w:val="20"/>
          <w:szCs w:val="22"/>
        </w:rPr>
        <w:t xml:space="preserve">Chair, Chiropractic Board of Australia </w:t>
      </w:r>
    </w:p>
    <w:p w:rsidR="00225AA3" w:rsidRDefault="00076261">
      <w:pPr>
        <w:pStyle w:val="AHPRAbody"/>
        <w:spacing w:after="0"/>
        <w:rPr>
          <w:szCs w:val="22"/>
          <w:lang w:val="en-AU"/>
        </w:rPr>
      </w:pPr>
      <w:r>
        <w:rPr>
          <w:i/>
          <w:iCs/>
          <w:szCs w:val="22"/>
          <w:lang w:val="en-AU"/>
        </w:rPr>
        <w:t>20 June 2014</w:t>
      </w:r>
    </w:p>
    <w:p w:rsidR="00225AA3" w:rsidRDefault="00225AA3">
      <w:pPr>
        <w:pStyle w:val="Default"/>
        <w:rPr>
          <w:b/>
          <w:bCs/>
          <w:color w:val="007BC3"/>
          <w:sz w:val="22"/>
          <w:szCs w:val="22"/>
        </w:rPr>
      </w:pPr>
    </w:p>
    <w:p w:rsidR="00225AA3" w:rsidRDefault="00225AA3">
      <w:pPr>
        <w:tabs>
          <w:tab w:val="left" w:pos="5678"/>
        </w:tabs>
        <w:jc w:val="left"/>
        <w:rPr>
          <w:szCs w:val="22"/>
        </w:rPr>
      </w:pPr>
    </w:p>
    <w:p w:rsidR="00225AA3" w:rsidRDefault="00225AA3">
      <w:pPr>
        <w:tabs>
          <w:tab w:val="left" w:pos="5678"/>
        </w:tabs>
        <w:jc w:val="left"/>
        <w:rPr>
          <w:szCs w:val="22"/>
        </w:rPr>
      </w:pPr>
    </w:p>
    <w:sectPr w:rsidR="00225AA3">
      <w:headerReference w:type="default" r:id="rId13"/>
      <w:footerReference w:type="even" r:id="rId14"/>
      <w:footerReference w:type="default" r:id="rId15"/>
      <w:headerReference w:type="first" r:id="rId16"/>
      <w:footerReference w:type="first" r:id="rId17"/>
      <w:pgSz w:w="11900" w:h="16840"/>
      <w:pgMar w:top="1820" w:right="1134" w:bottom="1134" w:left="1134" w:header="1134" w:footer="11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EB" w:rsidRDefault="00687AEB">
      <w:r>
        <w:separator/>
      </w:r>
    </w:p>
    <w:p w:rsidR="00687AEB" w:rsidRDefault="00687AEB"/>
  </w:endnote>
  <w:endnote w:type="continuationSeparator" w:id="0">
    <w:p w:rsidR="00687AEB" w:rsidRDefault="00687AEB">
      <w:r>
        <w:continuationSeparator/>
      </w:r>
    </w:p>
    <w:p w:rsidR="00687AEB" w:rsidRDefault="00687AEB"/>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3" w:rsidRDefault="00225AA3">
    <w:pPr>
      <w:pStyle w:val="AHPRAfootnote"/>
      <w:framePr w:wrap="around" w:vAnchor="text" w:hAnchor="margin" w:xAlign="right" w:y="1"/>
    </w:pPr>
    <w:r>
      <w:fldChar w:fldCharType="begin"/>
    </w:r>
    <w:r>
      <w:instrText xml:space="preserve">PAGE  </w:instrText>
    </w:r>
    <w:r>
      <w:fldChar w:fldCharType="end"/>
    </w:r>
  </w:p>
  <w:p w:rsidR="00225AA3" w:rsidRDefault="00225AA3">
    <w:pPr>
      <w:pStyle w:val="AHPRAfootnote"/>
      <w:ind w:right="360"/>
    </w:pPr>
  </w:p>
  <w:p w:rsidR="00225AA3" w:rsidRDefault="00225A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3" w:rsidRDefault="00225AA3">
    <w:pPr>
      <w:pStyle w:val="AHPRAfirstpagefooter"/>
    </w:pPr>
    <w:r>
      <w:rPr>
        <w:color w:val="007DC3"/>
      </w:rPr>
      <w:t>Chiropractic</w:t>
    </w:r>
    <w:r>
      <w:t xml:space="preserve"> Board of Australia</w:t>
    </w:r>
  </w:p>
  <w:p w:rsidR="00225AA3" w:rsidRDefault="00225AA3">
    <w:pPr>
      <w:pStyle w:val="AHPRAfooter"/>
      <w:jc w:val="center"/>
    </w:pPr>
    <w:r>
      <w:t xml:space="preserve">G.P.O. Box 9958   </w:t>
    </w:r>
    <w:r>
      <w:rPr>
        <w:b/>
        <w:color w:val="007DC3"/>
        <w:szCs w:val="28"/>
      </w:rPr>
      <w:t>|</w:t>
    </w:r>
    <w:r>
      <w:t xml:space="preserve">   Melbourne VIC 3001   </w:t>
    </w:r>
    <w:r>
      <w:rPr>
        <w:b/>
        <w:color w:val="007DC3"/>
        <w:szCs w:val="28"/>
      </w:rPr>
      <w:t>|</w:t>
    </w:r>
    <w:r>
      <w:t xml:space="preserve">   www.chiropracticboard.gov.au   </w:t>
    </w:r>
    <w:r>
      <w:rPr>
        <w:b/>
        <w:color w:val="007DC3"/>
        <w:szCs w:val="28"/>
      </w:rPr>
      <w:t>|</w:t>
    </w:r>
    <w:r>
      <w:t xml:space="preserve">   1300 419 495</w:t>
    </w:r>
  </w:p>
  <w:p w:rsidR="00225AA3" w:rsidRDefault="00225AA3">
    <w:pPr>
      <w:pStyle w:val="AHPRApagenumber"/>
      <w:ind w:left="1440" w:firstLine="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3" w:rsidRDefault="00225AA3">
    <w:pPr>
      <w:pStyle w:val="AHPRAfirstpagefooter"/>
    </w:pPr>
    <w:r>
      <w:rPr>
        <w:color w:val="007DC3"/>
      </w:rPr>
      <w:t>Chiropractic</w:t>
    </w:r>
    <w:r>
      <w:t xml:space="preserve"> Board of Australia</w:t>
    </w:r>
  </w:p>
  <w:p w:rsidR="00225AA3" w:rsidRDefault="00225AA3">
    <w:pPr>
      <w:pStyle w:val="AHPRAfooter"/>
      <w:jc w:val="center"/>
    </w:pPr>
    <w:r>
      <w:t xml:space="preserve">G.P.O. Box 9958   </w:t>
    </w:r>
    <w:r>
      <w:rPr>
        <w:b/>
        <w:color w:val="007DC3"/>
        <w:szCs w:val="28"/>
      </w:rPr>
      <w:t>|</w:t>
    </w:r>
    <w:r>
      <w:t xml:space="preserve">   Melbourne VIC 3001   </w:t>
    </w:r>
    <w:r>
      <w:rPr>
        <w:b/>
        <w:color w:val="007DC3"/>
        <w:szCs w:val="28"/>
      </w:rPr>
      <w:t>|</w:t>
    </w:r>
    <w:r>
      <w:t xml:space="preserve">   www.chiropracticboard.gov.au   </w:t>
    </w:r>
    <w:r>
      <w:rPr>
        <w:b/>
        <w:color w:val="007DC3"/>
        <w:szCs w:val="28"/>
      </w:rPr>
      <w:t>|</w:t>
    </w:r>
    <w:r>
      <w:t xml:space="preserve">   1300 419 495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EB" w:rsidRDefault="00687AEB">
      <w:r>
        <w:separator/>
      </w:r>
    </w:p>
  </w:footnote>
  <w:footnote w:type="continuationSeparator" w:id="0">
    <w:p w:rsidR="00687AEB" w:rsidRDefault="00687AEB">
      <w:r>
        <w:continuationSeparator/>
      </w:r>
    </w:p>
    <w:p w:rsidR="00687AEB" w:rsidRDefault="00687AEB"/>
  </w:footnote>
  <w:footnote w:type="continuationNotice" w:id="1">
    <w:p w:rsidR="00687AEB" w:rsidRDefault="00687A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3" w:rsidRDefault="00225AA3">
    <w:pPr>
      <w:ind w:right="-567"/>
    </w:pPr>
  </w:p>
  <w:p w:rsidR="00225AA3" w:rsidRDefault="00225A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3" w:rsidRDefault="00432FEB">
    <w:r>
      <w:rPr>
        <w:noProof/>
        <w:lang w:val="en-US" w:eastAsia="en-US"/>
      </w:rPr>
      <w:drawing>
        <wp:anchor distT="0" distB="0" distL="114300" distR="114300" simplePos="0" relativeHeight="251657728" behindDoc="0" locked="0" layoutInCell="1" allowOverlap="1">
          <wp:simplePos x="0" y="0"/>
          <wp:positionH relativeFrom="margin">
            <wp:posOffset>4378960</wp:posOffset>
          </wp:positionH>
          <wp:positionV relativeFrom="margin">
            <wp:posOffset>-1559560</wp:posOffset>
          </wp:positionV>
          <wp:extent cx="1261110" cy="1316990"/>
          <wp:effectExtent l="19050" t="0" r="0" b="0"/>
          <wp:wrapSquare wrapText="bothSides"/>
          <wp:docPr id="1" name="Picture 1" descr="Chiropractic Board web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practic Board website. "/>
                  <pic:cNvPicPr>
                    <a:picLocks noChangeAspect="1" noChangeArrowheads="1"/>
                  </pic:cNvPicPr>
                </pic:nvPicPr>
                <pic:blipFill>
                  <a:blip r:embed="rId1"/>
                  <a:srcRect/>
                  <a:stretch>
                    <a:fillRect/>
                  </a:stretch>
                </pic:blipFill>
                <pic:spPr bwMode="auto">
                  <a:xfrm>
                    <a:off x="0" y="0"/>
                    <a:ext cx="1261110" cy="1316990"/>
                  </a:xfrm>
                  <a:prstGeom prst="rect">
                    <a:avLst/>
                  </a:prstGeom>
                  <a:noFill/>
                  <a:ln w="9525">
                    <a:noFill/>
                    <a:miter lim="800000"/>
                    <a:headEnd/>
                    <a:tailEnd/>
                  </a:ln>
                </pic:spPr>
              </pic:pic>
            </a:graphicData>
          </a:graphic>
        </wp:anchor>
      </w:drawing>
    </w:r>
  </w:p>
  <w:p w:rsidR="00225AA3" w:rsidRDefault="00225AA3"/>
  <w:p w:rsidR="00225AA3" w:rsidRDefault="00225AA3"/>
  <w:p w:rsidR="00225AA3" w:rsidRDefault="00225AA3"/>
  <w:p w:rsidR="00225AA3" w:rsidRDefault="00225AA3"/>
  <w:p w:rsidR="00225AA3" w:rsidRDefault="00225AA3">
    <w:pPr>
      <w:tabs>
        <w:tab w:val="left" w:pos="3667"/>
      </w:tabs>
    </w:pPr>
    <w:r>
      <w:tab/>
    </w:r>
  </w:p>
  <w:p w:rsidR="00225AA3" w:rsidRDefault="00225A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8B40219"/>
    <w:multiLevelType w:val="hybridMultilevel"/>
    <w:tmpl w:val="452C0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BB17D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A8C50CD"/>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0C862165"/>
    <w:multiLevelType w:val="multilevel"/>
    <w:tmpl w:val="BE20683A"/>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17664F0A"/>
    <w:multiLevelType w:val="multilevel"/>
    <w:tmpl w:val="E8BE46B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2694"/>
        </w:tabs>
        <w:ind w:left="2694"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3E305DF"/>
    <w:multiLevelType w:val="hybridMultilevel"/>
    <w:tmpl w:val="F85A1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22578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0">
    <w:nsid w:val="2BB154B8"/>
    <w:multiLevelType w:val="multilevel"/>
    <w:tmpl w:val="A8F075F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C065C2"/>
    <w:multiLevelType w:val="hybridMultilevel"/>
    <w:tmpl w:val="42C60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E40BF8"/>
    <w:multiLevelType w:val="hybridMultilevel"/>
    <w:tmpl w:val="C014412A"/>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13">
    <w:nsid w:val="48150636"/>
    <w:multiLevelType w:val="hybridMultilevel"/>
    <w:tmpl w:val="DE8A10D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8192FC6"/>
    <w:multiLevelType w:val="hybridMultilevel"/>
    <w:tmpl w:val="068A29CC"/>
    <w:lvl w:ilvl="0">
      <w:start w:val="1"/>
      <w:numFmt w:val="bullet"/>
      <w:pStyle w:val="AHPRABulletleve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nsid w:val="4E04433A"/>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nsid w:val="53912372"/>
    <w:multiLevelType w:val="hybridMultilevel"/>
    <w:tmpl w:val="0826E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C55527"/>
    <w:multiLevelType w:val="hybridMultilevel"/>
    <w:tmpl w:val="E2A8E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032386D"/>
    <w:multiLevelType w:val="multilevel"/>
    <w:tmpl w:val="C5A25AF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A9F2ACF"/>
    <w:multiLevelType w:val="multilevel"/>
    <w:tmpl w:val="24F89942"/>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nsid w:val="6ACC55E0"/>
    <w:multiLevelType w:val="hybridMultilevel"/>
    <w:tmpl w:val="C96835DA"/>
    <w:lvl w:ilvl="0">
      <w:start w:val="1"/>
      <w:numFmt w:val="bullet"/>
      <w:pStyle w:val="AHPRABulletlevel3"/>
      <w:lvlText w:val="o"/>
      <w:lvlJc w:val="left"/>
      <w:pPr>
        <w:ind w:left="1440" w:hanging="360"/>
      </w:pPr>
      <w:rPr>
        <w:rFonts w:ascii="Courier New" w:hAnsi="Courier New" w:cs="Aria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21">
    <w:nsid w:val="76E154B0"/>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2">
    <w:nsid w:val="79AC16EC"/>
    <w:multiLevelType w:val="hybridMultilevel"/>
    <w:tmpl w:val="CA9EC72A"/>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23">
    <w:nsid w:val="7C2610BB"/>
    <w:multiLevelType w:val="hybridMultilevel"/>
    <w:tmpl w:val="FF68D3AC"/>
    <w:lvl w:ilvl="0">
      <w:start w:val="1"/>
      <w:numFmt w:val="bullet"/>
      <w:pStyle w:val="AHPRABulletlevel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4">
    <w:nsid w:val="7C731660"/>
    <w:multiLevelType w:val="multilevel"/>
    <w:tmpl w:val="C4183F12"/>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5">
    <w:nsid w:val="7E820684"/>
    <w:multiLevelType w:val="hybridMultilevel"/>
    <w:tmpl w:val="9AF09136"/>
    <w:lvl w:ilvl="0">
      <w:start w:val="1"/>
      <w:numFmt w:val="bullet"/>
      <w:lvlText w:val=""/>
      <w:lvlJc w:val="left"/>
      <w:pPr>
        <w:ind w:left="-351" w:hanging="360"/>
      </w:pPr>
      <w:rPr>
        <w:rFonts w:ascii="Symbol" w:hAnsi="Symbol" w:hint="default"/>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num w:numId="1">
    <w:abstractNumId w:val="20"/>
  </w:num>
  <w:num w:numId="2">
    <w:abstractNumId w:val="14"/>
  </w:num>
  <w:num w:numId="3">
    <w:abstractNumId w:val="2"/>
  </w:num>
  <w:num w:numId="4">
    <w:abstractNumId w:val="4"/>
  </w:num>
  <w:num w:numId="5">
    <w:abstractNumId w:val="5"/>
  </w:num>
  <w:num w:numId="6">
    <w:abstractNumId w:val="9"/>
  </w:num>
  <w:num w:numId="7">
    <w:abstractNumId w:val="1"/>
  </w:num>
  <w:num w:numId="8">
    <w:abstractNumId w:val="11"/>
  </w:num>
  <w:num w:numId="9">
    <w:abstractNumId w:val="23"/>
  </w:num>
  <w:num w:numId="10">
    <w:abstractNumId w:val="15"/>
  </w:num>
  <w:num w:numId="11">
    <w:abstractNumId w:val="3"/>
  </w:num>
  <w:num w:numId="12">
    <w:abstractNumId w:val="21"/>
  </w:num>
  <w:num w:numId="13">
    <w:abstractNumId w:val="24"/>
  </w:num>
  <w:num w:numId="14">
    <w:abstractNumId w:val="19"/>
  </w:num>
  <w:num w:numId="15">
    <w:abstractNumId w:val="7"/>
  </w:num>
  <w:num w:numId="16">
    <w:abstractNumId w:val="8"/>
  </w:num>
  <w:num w:numId="17">
    <w:abstractNumId w:val="0"/>
  </w:num>
  <w:num w:numId="18">
    <w:abstractNumId w:val="16"/>
  </w:num>
  <w:num w:numId="19">
    <w:abstractNumId w:val="10"/>
  </w:num>
  <w:num w:numId="20">
    <w:abstractNumId w:val="12"/>
  </w:num>
  <w:num w:numId="21">
    <w:abstractNumId w:val="18"/>
  </w:num>
  <w:num w:numId="22">
    <w:abstractNumId w:val="22"/>
  </w:num>
  <w:num w:numId="23">
    <w:abstractNumId w:val="6"/>
  </w:num>
  <w:num w:numId="24">
    <w:abstractNumId w:val="17"/>
  </w:num>
  <w:num w:numId="25">
    <w:abstractNumId w:val="14"/>
  </w:num>
  <w:num w:numId="26">
    <w:abstractNumId w:val="14"/>
  </w:num>
  <w:num w:numId="27">
    <w:abstractNumId w:val="14"/>
  </w:num>
  <w:num w:numId="28">
    <w:abstractNumId w:val="25"/>
  </w:num>
  <w:num w:numId="29">
    <w:abstractNumId w:val="14"/>
  </w:num>
  <w:num w:numId="30">
    <w:abstractNumId w:val="1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4"/>
  <w:defaultTabStop w:val="720"/>
  <w:defaultTableStyle w:val="Normal"/>
  <w:drawingGridHorizontalSpacing w:val="110"/>
  <w:drawingGridVerticalSpacing w:val="360"/>
  <w:displayHorizontalDrawingGridEvery w:val="0"/>
  <w:displayVerticalDrawingGridEvery w:val="0"/>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Pr>
  <w:compat/>
  <w:rsids>
    <w:rsidRoot w:val="00182B92"/>
    <w:rsid w:val="00076261"/>
    <w:rsid w:val="00182B92"/>
    <w:rsid w:val="00225AA3"/>
    <w:rsid w:val="00432FEB"/>
    <w:rsid w:val="00614880"/>
    <w:rsid w:val="00687AEB"/>
    <w:rsid w:val="00B57A81"/>
    <w:rsid w:val="00E14345"/>
    <w:rsid w:val="00FB3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jc w:val="both"/>
    </w:pPr>
    <w:rPr>
      <w:rFonts w:eastAsia="Times New Roman" w:cs="Arial"/>
      <w:sz w:val="22"/>
      <w:szCs w:val="24"/>
      <w:lang w:val="en-AU" w:eastAsia="en-AU"/>
    </w:rPr>
  </w:style>
  <w:style w:type="paragraph" w:styleId="Heading1">
    <w:name w:val="heading 1"/>
    <w:basedOn w:val="Normal"/>
    <w:next w:val="Normal"/>
    <w:qFormat/>
    <w:pPr>
      <w:keepNext/>
      <w:spacing w:before="240" w:after="60"/>
      <w:jc w:val="left"/>
      <w:outlineLvl w:val="0"/>
    </w:pPr>
    <w:rPr>
      <w:rFonts w:ascii="Cambria" w:hAnsi="Cambria" w:cs="Times New Roman"/>
      <w:b/>
      <w:bCs/>
      <w:kern w:val="32"/>
      <w:sz w:val="32"/>
      <w:szCs w:val="32"/>
      <w:lang/>
    </w:rPr>
  </w:style>
  <w:style w:type="paragraph" w:styleId="Heading2">
    <w:name w:val="heading 2"/>
    <w:basedOn w:val="Normal"/>
    <w:next w:val="Normal"/>
    <w:qFormat/>
    <w:pPr>
      <w:keepNext/>
      <w:spacing w:before="240" w:after="60"/>
      <w:jc w:val="left"/>
      <w:outlineLvl w:val="1"/>
    </w:pPr>
    <w:rPr>
      <w:rFonts w:ascii="Cambria" w:hAnsi="Cambria" w:cs="Times New Roman"/>
      <w:b/>
      <w:bCs/>
      <w:i/>
      <w:iCs/>
      <w:sz w:val="28"/>
      <w:szCs w:val="28"/>
      <w:lang/>
    </w:rPr>
  </w:style>
  <w:style w:type="paragraph" w:styleId="Heading3">
    <w:name w:val="heading 3"/>
    <w:basedOn w:val="Normal"/>
    <w:next w:val="Normal"/>
    <w:qFormat/>
    <w:pPr>
      <w:keepNext/>
      <w:spacing w:before="240" w:after="60"/>
      <w:jc w:val="left"/>
      <w:outlineLvl w:val="2"/>
    </w:pPr>
    <w:rPr>
      <w:rFonts w:ascii="Cambria" w:hAnsi="Cambria" w:cs="Times New Roman"/>
      <w:b/>
      <w:bCs/>
      <w:sz w:val="26"/>
      <w:szCs w:val="26"/>
      <w:lang/>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semiHidden/>
    <w:rPr>
      <w:rFonts w:ascii="Cambria" w:eastAsia="Times New Roman" w:hAnsi="Cambria" w:cs="Times New Roman"/>
      <w:b/>
      <w:bCs/>
      <w:kern w:val="32"/>
      <w:sz w:val="32"/>
      <w:szCs w:val="32"/>
    </w:rPr>
  </w:style>
  <w:style w:type="paragraph" w:customStyle="1" w:styleId="AHPRADocumenttitle">
    <w:name w:val="AHPRA Document title"/>
    <w:basedOn w:val="Normal"/>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pPr>
      <w:spacing w:after="200"/>
      <w:jc w:val="left"/>
    </w:pPr>
    <w:rPr>
      <w:rFonts w:eastAsia="Cambria" w:cs="Times New Roman"/>
      <w:sz w:val="20"/>
      <w:lang/>
    </w:rPr>
  </w:style>
  <w:style w:type="paragraph" w:customStyle="1" w:styleId="AHPRAbodybold">
    <w:name w:val="AHPRA body bold"/>
    <w:basedOn w:val="AHPRAbody"/>
    <w:rPr>
      <w:b/>
    </w:rPr>
  </w:style>
  <w:style w:type="paragraph" w:customStyle="1" w:styleId="AHPRADocumentsubheading">
    <w:name w:val="AHPRA Document subheading"/>
    <w:basedOn w:val="Normal"/>
    <w:next w:val="Normal"/>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rPr>
      <w:color w:val="auto"/>
    </w:rPr>
  </w:style>
  <w:style w:type="paragraph" w:customStyle="1" w:styleId="AHPRASubheadinglevel3">
    <w:name w:val="AHPRA Subheading level 3"/>
    <w:basedOn w:val="AHPRASubheading"/>
    <w:next w:val="Normal"/>
    <w:rPr>
      <w:b w:val="0"/>
    </w:rPr>
  </w:style>
  <w:style w:type="paragraph" w:customStyle="1" w:styleId="AHPRABulletlevel1">
    <w:name w:val="AHPRA Bullet level 1"/>
    <w:basedOn w:val="Normal"/>
    <w:pPr>
      <w:numPr>
        <w:numId w:val="2"/>
      </w:numPr>
      <w:jc w:val="left"/>
    </w:pPr>
    <w:rPr>
      <w:rFonts w:eastAsia="Cambria" w:cs="Times New Roman"/>
      <w:sz w:val="20"/>
      <w:lang w:val="en-US" w:eastAsia="en-US"/>
    </w:rPr>
  </w:style>
  <w:style w:type="paragraph" w:customStyle="1" w:styleId="AHPRABulletlevel2">
    <w:name w:val="AHPRA Bullet level 2"/>
    <w:basedOn w:val="AHPRABulletlevel1"/>
    <w:pPr>
      <w:numPr>
        <w:numId w:val="9"/>
      </w:numPr>
      <w:ind w:left="738" w:hanging="369"/>
    </w:pPr>
  </w:style>
  <w:style w:type="paragraph" w:customStyle="1" w:styleId="AHPRABulletlevel3">
    <w:name w:val="AHPRA Bullet level 3"/>
    <w:basedOn w:val="AHPRABulletlevel2"/>
    <w:pPr>
      <w:numPr>
        <w:numId w:val="1"/>
      </w:numPr>
      <w:ind w:left="1106" w:hanging="369"/>
    </w:pPr>
  </w:style>
  <w:style w:type="paragraph" w:customStyle="1" w:styleId="AHPRANumberedlistlevel2">
    <w:name w:val="AHPRA Numbered list level 2"/>
    <w:basedOn w:val="AHPRANumberedlistlevel1"/>
    <w:pPr>
      <w:numPr>
        <w:ilvl w:val="1"/>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pPr>
      <w:numPr>
        <w:numId w:val="11"/>
      </w:numPr>
    </w:pPr>
  </w:style>
  <w:style w:type="paragraph" w:customStyle="1" w:styleId="AHPRANumberedlistlevel2withspace">
    <w:name w:val="AHPRA Numbered list level 2 with space"/>
    <w:basedOn w:val="AHPRANumberedlistlevel2"/>
    <w:next w:val="AHPRAbody"/>
    <w:pPr>
      <w:spacing w:after="240"/>
    </w:pPr>
  </w:style>
  <w:style w:type="paragraph" w:customStyle="1" w:styleId="AHPRAtableheading">
    <w:name w:val="AHPRA table heading"/>
    <w:basedOn w:val="Normal"/>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pPr>
      <w:spacing w:after="200"/>
    </w:pPr>
  </w:style>
  <w:style w:type="paragraph" w:customStyle="1" w:styleId="AHPRANumberedlistlevel1withspace">
    <w:name w:val="AHPRA Numbered list level 1 with space"/>
    <w:basedOn w:val="AHPRANumberedlistlevel1"/>
    <w:next w:val="AHPRAbody"/>
    <w:pPr>
      <w:spacing w:after="200"/>
    </w:p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pPr>
      <w:tabs>
        <w:tab w:val="center" w:pos="4513"/>
        <w:tab w:val="right" w:pos="9026"/>
      </w:tabs>
      <w:spacing w:after="200"/>
      <w:jc w:val="left"/>
    </w:pPr>
    <w:rPr>
      <w:rFonts w:eastAsia="Cambria" w:cs="Times New Roman"/>
      <w:sz w:val="24"/>
      <w:lang/>
    </w:rPr>
  </w:style>
  <w:style w:type="character" w:customStyle="1" w:styleId="HeaderChar">
    <w:name w:val="Header Char"/>
    <w:rPr>
      <w:sz w:val="24"/>
      <w:szCs w:val="24"/>
    </w:rPr>
  </w:style>
  <w:style w:type="paragraph" w:customStyle="1" w:styleId="AHPRApagenumber">
    <w:name w:val="AHPRA page number"/>
    <w:basedOn w:val="AHPRAfooter"/>
    <w:pPr>
      <w:jc w:val="right"/>
    </w:pPr>
  </w:style>
  <w:style w:type="paragraph" w:styleId="FootnoteText">
    <w:name w:val="footnote text"/>
    <w:basedOn w:val="Normal"/>
    <w:semiHidden/>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semiHidden/>
  </w:style>
  <w:style w:type="character" w:styleId="FootnoteReference">
    <w:name w:val="footnote reference"/>
    <w:rPr>
      <w:rFonts w:ascii="Arial" w:hAnsi="Arial"/>
      <w:color w:val="auto"/>
      <w:sz w:val="18"/>
      <w:vertAlign w:val="superscript"/>
    </w:rPr>
  </w:style>
  <w:style w:type="paragraph" w:customStyle="1" w:styleId="AHPRAfooter">
    <w:name w:val="AHPRA footer"/>
    <w:basedOn w:val="FootnoteText"/>
    <w:pPr>
      <w:spacing w:after="0"/>
    </w:pPr>
    <w:rPr>
      <w:rFonts w:cs="Arial"/>
      <w:color w:val="5F6062"/>
      <w:sz w:val="18"/>
    </w:rPr>
  </w:style>
  <w:style w:type="character" w:customStyle="1" w:styleId="Heading2Char">
    <w:name w:val="Heading 2 Char"/>
    <w:semiHidden/>
    <w:rPr>
      <w:rFonts w:ascii="Cambria" w:eastAsia="Times New Roman" w:hAnsi="Cambria" w:cs="Times New Roman"/>
      <w:b/>
      <w:bCs/>
      <w:i/>
      <w:iCs/>
      <w:sz w:val="28"/>
      <w:szCs w:val="28"/>
    </w:rPr>
  </w:style>
  <w:style w:type="paragraph" w:styleId="TOC2">
    <w:name w:val="toc 2"/>
    <w:basedOn w:val="AHPRASubheadinglevel2"/>
    <w:next w:val="Normal"/>
    <w:autoRedefine/>
    <w:pPr>
      <w:ind w:left="240"/>
    </w:pPr>
    <w:rPr>
      <w:b w:val="0"/>
    </w:rPr>
  </w:style>
  <w:style w:type="paragraph" w:styleId="TOC1">
    <w:name w:val="toc 1"/>
    <w:aliases w:val="AHPRA table of contents"/>
    <w:basedOn w:val="AHPRASubheading"/>
    <w:next w:val="Normal"/>
    <w:autoRedefine/>
    <w:pPr>
      <w:tabs>
        <w:tab w:val="right" w:leader="dot" w:pos="9488"/>
      </w:tabs>
    </w:pPr>
    <w:rPr>
      <w:noProof/>
      <w:lang w:val="en-US" w:eastAsia="en-US"/>
    </w:rPr>
  </w:style>
  <w:style w:type="paragraph" w:styleId="TOC3">
    <w:name w:val="toc 3"/>
    <w:basedOn w:val="AHPRASubheadinglevel3"/>
    <w:next w:val="Normal"/>
    <w:autoRedefine/>
    <w:pPr>
      <w:ind w:left="480"/>
    </w:pPr>
  </w:style>
  <w:style w:type="character" w:styleId="Hyperlink">
    <w:name w:val="Hyperlink"/>
    <w:rPr>
      <w:color w:val="0000FF"/>
      <w:u w:val="single"/>
    </w:rPr>
  </w:style>
  <w:style w:type="paragraph" w:customStyle="1" w:styleId="AHPRAtabletext">
    <w:name w:val="AHPRA table text"/>
    <w:basedOn w:val="AHPRAbody"/>
    <w:pPr>
      <w:spacing w:after="0"/>
    </w:pPr>
    <w:rPr>
      <w:szCs w:val="20"/>
    </w:rPr>
  </w:style>
  <w:style w:type="paragraph" w:styleId="BalloonText">
    <w:name w:val="Balloon Text"/>
    <w:basedOn w:val="Normal"/>
    <w:semiHidden/>
    <w:rPr>
      <w:rFonts w:ascii="Tahoma" w:eastAsia="Cambria" w:hAnsi="Tahoma" w:cs="Times New Roman"/>
      <w:sz w:val="16"/>
      <w:szCs w:val="16"/>
      <w:lang/>
    </w:rPr>
  </w:style>
  <w:style w:type="character" w:customStyle="1" w:styleId="BalloonTextChar">
    <w:name w:val="Balloon Text Char"/>
    <w:semiHidden/>
    <w:rPr>
      <w:rFonts w:ascii="Tahoma" w:hAnsi="Tahoma" w:cs="Tahoma"/>
      <w:sz w:val="16"/>
      <w:szCs w:val="16"/>
    </w:rPr>
  </w:style>
  <w:style w:type="character" w:customStyle="1" w:styleId="IntenseEmphasis">
    <w:name w:val="Intense Emphasis"/>
    <w:aliases w:val="AHPRA- Footer"/>
    <w:semiHidden/>
    <w:rPr>
      <w:rFonts w:ascii="Arial" w:hAnsi="Arial" w:cs="Arial"/>
      <w:sz w:val="16"/>
    </w:rPr>
  </w:style>
  <w:style w:type="numbering" w:customStyle="1" w:styleId="AHPRANumberedlist">
    <w:name w:val="AHPRA Numbered list"/>
    <w:pPr>
      <w:numPr>
        <w:numId w:val="3"/>
      </w:numPr>
    </w:pPr>
  </w:style>
  <w:style w:type="numbering" w:customStyle="1" w:styleId="AHPRANumberedheadinglist">
    <w:name w:val="AHPRA Numbered heading list"/>
    <w:pPr>
      <w:numPr>
        <w:numId w:val="4"/>
      </w:numPr>
    </w:pPr>
  </w:style>
  <w:style w:type="paragraph" w:customStyle="1" w:styleId="AHPRANumberedlistlevel3withspace">
    <w:name w:val="AHPRA Numbered list level 3 with space"/>
    <w:basedOn w:val="AHPRANumberedlistlevel3"/>
    <w:next w:val="AHPRAbody"/>
    <w:pPr>
      <w:spacing w:after="200"/>
    </w:pPr>
  </w:style>
  <w:style w:type="paragraph" w:customStyle="1" w:styleId="StyleAHPRASubheadingNotBold">
    <w:name w:val="Style AHPRA Subheading + Not Bold"/>
    <w:basedOn w:val="AHPRASubheading"/>
    <w:semiHidden/>
    <w:rPr>
      <w:b w:val="0"/>
    </w:rPr>
  </w:style>
  <w:style w:type="paragraph" w:customStyle="1" w:styleId="AHPRABulletlevel2last">
    <w:name w:val="AHPRA Bullet level 2 last"/>
    <w:basedOn w:val="AHPRABulletlevel2"/>
    <w:next w:val="AHPRAbody"/>
    <w:pPr>
      <w:spacing w:after="200"/>
    </w:pPr>
  </w:style>
  <w:style w:type="paragraph" w:customStyle="1" w:styleId="AHPRABulletlevel3last">
    <w:name w:val="AHPRA Bullet level 3 last"/>
    <w:basedOn w:val="AHPRABulletlevel3"/>
    <w:next w:val="AHPRAbody"/>
    <w:pPr>
      <w:spacing w:after="200"/>
    </w:pPr>
  </w:style>
  <w:style w:type="paragraph" w:customStyle="1" w:styleId="AHPRAbodyitalics">
    <w:name w:val="AHPRA body italics"/>
    <w:basedOn w:val="AHPRAbodybold"/>
    <w:rPr>
      <w:b w:val="0"/>
      <w:i/>
    </w:rPr>
  </w:style>
  <w:style w:type="paragraph" w:customStyle="1" w:styleId="AHPRAbodyunderline">
    <w:name w:val="AHPRA body underline"/>
    <w:basedOn w:val="AHPRAbodyitalics"/>
    <w:rPr>
      <w:b/>
      <w:i w:val="0"/>
      <w:u w:val="single"/>
    </w:rPr>
  </w:style>
  <w:style w:type="paragraph" w:customStyle="1" w:styleId="AHPRAfirstpagefooter">
    <w:name w:val="AHPRA first page footer"/>
    <w:basedOn w:val="AHPRAfooter"/>
    <w:pPr>
      <w:jc w:val="center"/>
    </w:pPr>
    <w:rPr>
      <w:b/>
    </w:rPr>
  </w:style>
  <w:style w:type="paragraph" w:customStyle="1" w:styleId="AHPRAfootnote">
    <w:name w:val="AHPRA footnote"/>
    <w:basedOn w:val="AHPRASubheading"/>
    <w:pPr>
      <w:spacing w:before="0" w:after="120"/>
    </w:pPr>
    <w:rPr>
      <w:b w:val="0"/>
      <w:color w:val="auto"/>
      <w:sz w:val="18"/>
      <w:szCs w:val="18"/>
    </w:rPr>
  </w:style>
  <w:style w:type="paragraph" w:customStyle="1" w:styleId="AHPRANumberedlistlevel1">
    <w:name w:val="AHPRA Numbered list level 1"/>
    <w:basedOn w:val="AHPRABulletlevel1"/>
    <w:pPr>
      <w:numPr>
        <w:numId w:val="13"/>
      </w:numPr>
    </w:pPr>
  </w:style>
  <w:style w:type="paragraph" w:customStyle="1" w:styleId="AHPRANumberedlistlevel3">
    <w:name w:val="AHPRA Numbered list level 3"/>
    <w:basedOn w:val="AHPRANumberedlistlevel1"/>
    <w:pPr>
      <w:numPr>
        <w:ilvl w:val="2"/>
      </w:numPr>
    </w:pPr>
  </w:style>
  <w:style w:type="paragraph" w:customStyle="1" w:styleId="AHPRANumberedsubheadinglevel2">
    <w:name w:val="AHPRA Numbered subheading level 2"/>
    <w:basedOn w:val="AHPRANumberedsubheadinglevel1"/>
    <w:next w:val="AHPRAbody"/>
    <w:pPr>
      <w:numPr>
        <w:ilvl w:val="1"/>
      </w:numPr>
      <w:spacing w:before="0"/>
    </w:pPr>
    <w:rPr>
      <w:color w:val="auto"/>
    </w:rPr>
  </w:style>
  <w:style w:type="paragraph" w:customStyle="1" w:styleId="AHPRANumberedsubheadinglevel3">
    <w:name w:val="AHPRA Numbered subheading level 3"/>
    <w:basedOn w:val="AHPRANumberedsubheadinglevel2"/>
    <w:next w:val="AHPRAbody"/>
    <w:pPr>
      <w:numPr>
        <w:ilvl w:val="2"/>
      </w:numPr>
    </w:pPr>
    <w:rPr>
      <w:b w:val="0"/>
      <w:color w:val="007DC3"/>
    </w:rPr>
  </w:style>
  <w:style w:type="paragraph" w:customStyle="1" w:styleId="AHPRAtablebullets">
    <w:name w:val="AHPRA table bullets"/>
    <w:basedOn w:val="AHPRABulletlevel1"/>
  </w:style>
  <w:style w:type="character" w:customStyle="1" w:styleId="AHPRAbodyChar">
    <w:name w:val="AHPRA body Char"/>
    <w:rPr>
      <w:rFonts w:cs="Arial"/>
      <w:szCs w:val="24"/>
    </w:rPr>
  </w:style>
  <w:style w:type="character" w:customStyle="1" w:styleId="AHPRAbodyboldChar">
    <w:name w:val="AHPRA body bold Char"/>
    <w:rPr>
      <w:rFonts w:cs="Arial"/>
      <w:b/>
      <w:szCs w:val="24"/>
    </w:rPr>
  </w:style>
  <w:style w:type="paragraph" w:styleId="TOCHeading">
    <w:name w:val="TOC Heading"/>
    <w:basedOn w:val="AHPRADocumentsubheading"/>
    <w:next w:val="AHPRAbody"/>
    <w:qFormat/>
    <w:pPr>
      <w:keepLines/>
      <w:spacing w:before="480" w:after="0" w:line="276" w:lineRule="auto"/>
      <w:outlineLvl w:val="9"/>
    </w:pPr>
    <w:rPr>
      <w:szCs w:val="28"/>
    </w:rPr>
  </w:style>
  <w:style w:type="character" w:customStyle="1" w:styleId="AHPRAbodyitalicsChar">
    <w:name w:val="AHPRA body italics Char"/>
    <w:rPr>
      <w:rFonts w:cs="Arial"/>
      <w:b w:val="0"/>
      <w:i/>
      <w:szCs w:val="24"/>
    </w:rPr>
  </w:style>
  <w:style w:type="character" w:customStyle="1" w:styleId="AHPRAbodyunderlineChar">
    <w:name w:val="AHPRA body underline Char"/>
    <w:rPr>
      <w:rFonts w:cs="Arial"/>
      <w:b/>
      <w:i w:val="0"/>
      <w:szCs w:val="24"/>
      <w:u w:val="single"/>
    </w:rPr>
  </w:style>
  <w:style w:type="paragraph" w:styleId="DocumentMap">
    <w:name w:val="Document Map"/>
    <w:basedOn w:val="Normal"/>
    <w:semiHidden/>
    <w:rPr>
      <w:rFonts w:ascii="Tahoma" w:eastAsia="Cambria" w:hAnsi="Tahoma" w:cs="Times New Roman"/>
      <w:sz w:val="16"/>
      <w:szCs w:val="16"/>
      <w:lang/>
    </w:rPr>
  </w:style>
  <w:style w:type="character" w:customStyle="1" w:styleId="DocumentMapChar">
    <w:name w:val="Document Map Char"/>
    <w:semiHidden/>
    <w:rPr>
      <w:rFonts w:ascii="Tahoma" w:hAnsi="Tahoma" w:cs="Tahoma"/>
      <w:sz w:val="16"/>
      <w:szCs w:val="16"/>
    </w:rPr>
  </w:style>
  <w:style w:type="paragraph" w:customStyle="1" w:styleId="AHPRAbodybluebold">
    <w:name w:val="AHPRA body blue bold"/>
    <w:basedOn w:val="AHPRASubheading"/>
  </w:style>
  <w:style w:type="paragraph" w:customStyle="1" w:styleId="AHPRAnumberedsubheadinglevel10">
    <w:name w:val="AHPRA numbered subheading level 1"/>
    <w:basedOn w:val="AHPRASubheading"/>
    <w:next w:val="Normal"/>
    <w:pPr>
      <w:numPr>
        <w:numId w:val="14"/>
      </w:numPr>
    </w:pPr>
    <w:rPr>
      <w:color w:val="008EC4"/>
    </w:rPr>
  </w:style>
  <w:style w:type="paragraph" w:customStyle="1" w:styleId="AHPRAnumberedbulletpoint">
    <w:name w:val="AHPRA numbered bullet point"/>
    <w:basedOn w:val="AHPRAnumberedsubheadinglevel10"/>
    <w:pPr>
      <w:numPr>
        <w:ilvl w:val="1"/>
      </w:numPr>
    </w:pPr>
    <w:rPr>
      <w:b w:val="0"/>
      <w:color w:val="auto"/>
    </w:rPr>
  </w:style>
  <w:style w:type="numbering" w:customStyle="1" w:styleId="AHPRAlist">
    <w:name w:val="AHPRA list"/>
    <w:pPr>
      <w:numPr>
        <w:numId w:val="14"/>
      </w:numPr>
    </w:pPr>
  </w:style>
  <w:style w:type="paragraph" w:customStyle="1" w:styleId="Default">
    <w:name w:val="Default"/>
    <w:pPr>
      <w:autoSpaceDE w:val="0"/>
      <w:autoSpaceDN w:val="0"/>
      <w:adjustRightInd w:val="0"/>
    </w:pPr>
    <w:rPr>
      <w:rFonts w:cs="Arial"/>
      <w:color w:val="000000"/>
      <w:sz w:val="24"/>
      <w:szCs w:val="24"/>
      <w:lang w:val="en-AU"/>
    </w:rPr>
  </w:style>
  <w:style w:type="paragraph" w:customStyle="1" w:styleId="AHPRAitemheading">
    <w:name w:val="AHPRA item heading"/>
    <w:basedOn w:val="AHPRASubheading"/>
    <w:next w:val="Normal"/>
    <w:pPr>
      <w:numPr>
        <w:numId w:val="15"/>
      </w:numPr>
    </w:pPr>
  </w:style>
  <w:style w:type="paragraph" w:customStyle="1" w:styleId="AHPRAitemlevel2">
    <w:name w:val="AHPRA item level 2"/>
    <w:basedOn w:val="AHPRASubheading"/>
    <w:pPr>
      <w:numPr>
        <w:ilvl w:val="1"/>
        <w:numId w:val="15"/>
      </w:numPr>
    </w:pPr>
    <w:rPr>
      <w:lang/>
    </w:rPr>
  </w:style>
  <w:style w:type="paragraph" w:customStyle="1" w:styleId="111">
    <w:name w:val="1.1.1"/>
    <w:basedOn w:val="AHPRAitemlevel2"/>
    <w:pPr>
      <w:numPr>
        <w:ilvl w:val="2"/>
      </w:numPr>
      <w:tabs>
        <w:tab w:val="clear" w:pos="1134"/>
      </w:tabs>
      <w:ind w:left="2880" w:hanging="360"/>
    </w:pPr>
  </w:style>
  <w:style w:type="character" w:customStyle="1" w:styleId="AHPRAitemlevel2Char">
    <w:name w:val="AHPRA item level 2 Char"/>
    <w:rPr>
      <w:b/>
      <w:color w:val="007DC3"/>
      <w:szCs w:val="24"/>
    </w:rPr>
  </w:style>
  <w:style w:type="paragraph" w:customStyle="1" w:styleId="AHPRASubhead">
    <w:name w:val="AHPRA Subhead"/>
    <w:basedOn w:val="Normal"/>
    <w:pPr>
      <w:spacing w:after="200"/>
      <w:jc w:val="left"/>
    </w:pPr>
    <w:rPr>
      <w:rFonts w:eastAsia="Calibri" w:cs="Times New Roman"/>
      <w:b/>
      <w:color w:val="008EC4"/>
      <w:sz w:val="20"/>
      <w:lang w:val="en-US" w:eastAsia="en-US"/>
    </w:rPr>
  </w:style>
  <w:style w:type="paragraph" w:customStyle="1" w:styleId="AHPRAHeadline">
    <w:name w:val="AHPRA Headline"/>
    <w:basedOn w:val="Normal"/>
    <w:pPr>
      <w:spacing w:after="200"/>
      <w:jc w:val="left"/>
    </w:pPr>
    <w:rPr>
      <w:rFonts w:eastAsia="Cambria" w:cs="Times New Roman"/>
      <w:color w:val="008EC4"/>
      <w:sz w:val="28"/>
      <w:lang w:val="en-US" w:eastAsia="en-US"/>
    </w:rPr>
  </w:style>
  <w:style w:type="paragraph" w:customStyle="1" w:styleId="ahprabody0">
    <w:name w:val="ahprabody"/>
    <w:basedOn w:val="Normal"/>
    <w:pPr>
      <w:spacing w:after="200"/>
      <w:jc w:val="left"/>
    </w:pPr>
    <w:rPr>
      <w:rFonts w:ascii="Arial MT Lt" w:hAnsi="Arial MT Lt" w:cs="Times New Roman"/>
      <w:sz w:val="20"/>
      <w:szCs w:val="20"/>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rFonts w:cs="Times New Roman"/>
      <w:sz w:val="20"/>
      <w:szCs w:val="20"/>
    </w:rPr>
  </w:style>
  <w:style w:type="character" w:customStyle="1" w:styleId="CommentTextChar">
    <w:name w:val="Comment Text Char"/>
    <w:semiHidden/>
    <w:rPr>
      <w:rFonts w:eastAsia="Times New Roman" w:cs="Arial"/>
      <w:lang w:val="en-AU" w:eastAsia="en-AU"/>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eastAsia="Times New Roman" w:cs="Arial"/>
      <w:b/>
      <w:bCs/>
      <w:lang w:val="en-AU" w:eastAsia="en-AU"/>
    </w:rPr>
  </w:style>
  <w:style w:type="paragraph" w:styleId="NormalWeb">
    <w:name w:val="Normal (Web)"/>
    <w:basedOn w:val="Normal"/>
    <w:semiHidden/>
    <w:pPr>
      <w:spacing w:before="240" w:line="336" w:lineRule="atLeast"/>
      <w:ind w:left="58" w:right="58"/>
      <w:jc w:val="left"/>
    </w:pPr>
    <w:rPr>
      <w:sz w:val="29"/>
      <w:szCs w:val="29"/>
    </w:rPr>
  </w:style>
  <w:style w:type="character" w:styleId="Emphasis">
    <w:name w:val="Emphasis"/>
    <w:qFormat/>
    <w:rPr>
      <w:i/>
      <w:iCs/>
    </w:rPr>
  </w:style>
  <w:style w:type="paragraph" w:customStyle="1" w:styleId="ahprasubhead0">
    <w:name w:val="ahprasubhead"/>
    <w:basedOn w:val="Normal"/>
    <w:pPr>
      <w:jc w:val="left"/>
    </w:pPr>
    <w:rPr>
      <w:rFonts w:ascii="Times New Roman" w:eastAsia="Calibri" w:hAnsi="Times New Roman" w:cs="Times New Roman"/>
      <w:sz w:val="24"/>
    </w:rPr>
  </w:style>
  <w:style w:type="paragraph" w:styleId="Revision">
    <w:name w:val="Revision"/>
    <w:semiHidden/>
    <w:rPr>
      <w:rFonts w:eastAsia="Times New Roman" w:cs="Arial"/>
      <w:sz w:val="22"/>
      <w:szCs w:val="24"/>
      <w:lang w:val="en-AU" w:eastAsia="en-AU"/>
    </w:rPr>
  </w:style>
</w:styles>
</file>

<file path=word/webSettings.xml><?xml version="1.0" encoding="utf-8"?>
<w:webSettings xmlns:r="http://schemas.openxmlformats.org/officeDocument/2006/relationships" xmlns:w="http://schemas.openxmlformats.org/wordprocessingml/2006/main">
  <w:divs>
    <w:div w:id="7406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ropracticboard.gov.au/News/Current-consultations.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Notifications/What-is-a-notification.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o.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iropracticboard.gov.au/New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pra.gov.au/News/2014-04-29-terms-of-reference.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oard%20Management\Chiropractic%20Board%20of%20Australia\Templates\Chiro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353EF-7FDA-42E0-92DB-865CC231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ChiroBA_letter-template</Template>
  <TotalTime>2</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Chiropractic Board - Communiqué - Meeting of the Chiropractic Board of Australia - 18 January 2013</vt:lpstr>
    </vt:vector>
  </TitlesOfParts>
  <Company>Johanna Villani Design</Company>
  <LinksUpToDate>false</LinksUpToDate>
  <CharactersWithSpaces>4084</CharactersWithSpaces>
  <SharedDoc>false</SharedDoc>
  <HyperlinkBase/>
  <HLinks>
    <vt:vector size="30" baseType="variant">
      <vt:variant>
        <vt:i4>5177431</vt:i4>
      </vt:variant>
      <vt:variant>
        <vt:i4>12</vt:i4>
      </vt:variant>
      <vt:variant>
        <vt:i4>0</vt:i4>
      </vt:variant>
      <vt:variant>
        <vt:i4>5</vt:i4>
      </vt:variant>
      <vt:variant>
        <vt:lpwstr>http://www.ahpra.gov.au/Notifications/What-is-a-notification.aspx</vt:lpwstr>
      </vt:variant>
      <vt:variant>
        <vt:lpwstr/>
      </vt:variant>
      <vt:variant>
        <vt:i4>6357088</vt:i4>
      </vt:variant>
      <vt:variant>
        <vt:i4>9</vt:i4>
      </vt:variant>
      <vt:variant>
        <vt:i4>0</vt:i4>
      </vt:variant>
      <vt:variant>
        <vt:i4>5</vt:i4>
      </vt:variant>
      <vt:variant>
        <vt:lpwstr>http://www.oho.qld.gov.au/</vt:lpwstr>
      </vt:variant>
      <vt:variant>
        <vt:lpwstr/>
      </vt:variant>
      <vt:variant>
        <vt:i4>589839</vt:i4>
      </vt:variant>
      <vt:variant>
        <vt:i4>6</vt:i4>
      </vt:variant>
      <vt:variant>
        <vt:i4>0</vt:i4>
      </vt:variant>
      <vt:variant>
        <vt:i4>5</vt:i4>
      </vt:variant>
      <vt:variant>
        <vt:lpwstr>http://www.chiropracticboard.gov.au/News.aspx</vt:lpwstr>
      </vt:variant>
      <vt:variant>
        <vt:lpwstr/>
      </vt:variant>
      <vt:variant>
        <vt:i4>2621482</vt:i4>
      </vt:variant>
      <vt:variant>
        <vt:i4>3</vt:i4>
      </vt:variant>
      <vt:variant>
        <vt:i4>0</vt:i4>
      </vt:variant>
      <vt:variant>
        <vt:i4>5</vt:i4>
      </vt:variant>
      <vt:variant>
        <vt:lpwstr>http://www.ahpra.gov.au/News/2014-04-29-terms-of-reference.aspx</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 - 20 June 2014</dc:title>
  <dc:subject>Communiqué</dc:subject>
  <dc:creator>Chiropractic Board</dc:creator>
  <cp:keywords>20 June 2014</cp:keywords>
  <cp:lastModifiedBy>gmeade</cp:lastModifiedBy>
  <cp:revision>2</cp:revision>
  <cp:lastPrinted>2012-04-24T01:37:00Z</cp:lastPrinted>
  <dcterms:created xsi:type="dcterms:W3CDTF">2014-07-06T23:55:00Z</dcterms:created>
  <dcterms:modified xsi:type="dcterms:W3CDTF">2014-07-06T23:55:00Z</dcterms:modified>
</cp:coreProperties>
</file>